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D1" w:rsidRPr="00023FD1" w:rsidRDefault="00023FD1" w:rsidP="00023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D1">
        <w:rPr>
          <w:rFonts w:ascii="Times New Roman" w:hAnsi="Times New Roman" w:cs="Times New Roman"/>
          <w:b/>
          <w:sz w:val="24"/>
          <w:szCs w:val="24"/>
        </w:rPr>
        <w:t xml:space="preserve">ЕТАПИ ОТРИМАННЯ ЗВЕРНЕНЬ ГРОМАДЯН, ЇХ РОЗГЛЯД, </w:t>
      </w:r>
    </w:p>
    <w:p w:rsidR="00023FD1" w:rsidRPr="00023FD1" w:rsidRDefault="00023FD1" w:rsidP="00023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3FD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23FD1">
        <w:rPr>
          <w:rFonts w:ascii="Times New Roman" w:hAnsi="Times New Roman" w:cs="Times New Roman"/>
          <w:b/>
          <w:sz w:val="24"/>
          <w:szCs w:val="24"/>
        </w:rPr>
        <w:t>ІДГОТОВКА ВІДПОВІДЕЙ ТА ЗБЕРІГАННЯ.</w:t>
      </w:r>
    </w:p>
    <w:p w:rsidR="00023FD1" w:rsidRPr="00023FD1" w:rsidRDefault="00023FD1" w:rsidP="00023F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078"/>
        <w:gridCol w:w="8928"/>
        <w:gridCol w:w="3214"/>
      </w:tblGrid>
      <w:tr w:rsidR="00023FD1" w:rsidRPr="00023FD1" w:rsidTr="00154C46">
        <w:trPr>
          <w:tblHeader/>
        </w:trPr>
        <w:tc>
          <w:tcPr>
            <w:tcW w:w="46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Етапи проходження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Опис етапів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Нормативно-правові акти</w:t>
            </w:r>
          </w:p>
        </w:tc>
      </w:tr>
      <w:tr w:rsidR="00023FD1" w:rsidRPr="00023FD1" w:rsidTr="00154C46">
        <w:trPr>
          <w:trHeight w:val="5786"/>
        </w:trPr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Основні нормативні документи 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pStyle w:val="2"/>
              <w:spacing w:before="40" w:line="276" w:lineRule="auto"/>
              <w:ind w:firstLine="335"/>
              <w:rPr>
                <w:sz w:val="24"/>
              </w:rPr>
            </w:pPr>
            <w:r w:rsidRPr="00023FD1">
              <w:rPr>
                <w:sz w:val="24"/>
              </w:rPr>
              <w:t>Документи, що регламентують діяльність органів місцевого самоврядування з питань розгляду звернень громадян:</w:t>
            </w:r>
          </w:p>
          <w:p w:rsidR="00023FD1" w:rsidRPr="00023FD1" w:rsidRDefault="00023FD1" w:rsidP="00023FD1">
            <w:pPr>
              <w:pStyle w:val="2"/>
              <w:spacing w:before="40" w:line="276" w:lineRule="auto"/>
              <w:ind w:firstLine="335"/>
              <w:rPr>
                <w:sz w:val="24"/>
              </w:rPr>
            </w:pPr>
            <w:r w:rsidRPr="00023FD1">
              <w:rPr>
                <w:sz w:val="24"/>
              </w:rPr>
              <w:t>Конституція України;</w:t>
            </w:r>
          </w:p>
          <w:p w:rsidR="00023FD1" w:rsidRPr="00023FD1" w:rsidRDefault="00023FD1" w:rsidP="00023FD1">
            <w:pPr>
              <w:pStyle w:val="2"/>
              <w:spacing w:before="40" w:line="276" w:lineRule="auto"/>
              <w:ind w:firstLine="335"/>
              <w:rPr>
                <w:sz w:val="24"/>
              </w:rPr>
            </w:pPr>
            <w:r w:rsidRPr="00023FD1">
              <w:rPr>
                <w:sz w:val="24"/>
              </w:rPr>
              <w:t>Закон України «Про звернення громадян» від 02.10.1996 р.;</w:t>
            </w:r>
          </w:p>
          <w:p w:rsidR="00023FD1" w:rsidRPr="00023FD1" w:rsidRDefault="00023FD1" w:rsidP="00023FD1">
            <w:pPr>
              <w:pStyle w:val="HTML"/>
              <w:spacing w:before="40" w:line="276" w:lineRule="auto"/>
              <w:ind w:firstLine="3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23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Указ Президента України від 7 лютого 2008 року N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самоврядування»;</w:t>
            </w:r>
          </w:p>
          <w:p w:rsidR="00023FD1" w:rsidRPr="00023FD1" w:rsidRDefault="00023FD1" w:rsidP="00023FD1">
            <w:pPr>
              <w:pStyle w:val="HTML"/>
              <w:spacing w:before="40" w:line="276" w:lineRule="auto"/>
              <w:ind w:firstLine="3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23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Постанова Кабінету Міністрів України від 14 квітня 1997 р. N 348 «Про затвердження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інформації»;</w:t>
            </w:r>
          </w:p>
          <w:p w:rsidR="00023FD1" w:rsidRPr="00023FD1" w:rsidRDefault="00023FD1" w:rsidP="00023FD1">
            <w:pPr>
              <w:spacing w:before="40"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ів України від 24 вересня 2008 р. N 858 «Про затвердження Класифікатора звернень громадян».</w:t>
            </w:r>
          </w:p>
          <w:p w:rsidR="00023FD1" w:rsidRPr="00023FD1" w:rsidRDefault="00023FD1" w:rsidP="00023FD1">
            <w:pPr>
              <w:spacing w:before="40"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ів України від 24 червня 2009 р. N 630 «Про затвердження Методики оцінювання рівня організації роботи із зверненнями громадян в органах виконавчої влади»</w:t>
            </w:r>
          </w:p>
          <w:p w:rsidR="00023FD1" w:rsidRPr="00023FD1" w:rsidRDefault="00023FD1" w:rsidP="00023FD1">
            <w:pPr>
              <w:spacing w:before="40"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від 17.09.2009 року № 509 «Про забезпечення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реагування на звернення, що надійшли на урядову телефонну «гарячу лінію».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на звернення 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pStyle w:val="2"/>
              <w:spacing w:line="276" w:lineRule="auto"/>
              <w:ind w:firstLine="334"/>
              <w:rPr>
                <w:sz w:val="24"/>
              </w:rPr>
            </w:pPr>
            <w:r w:rsidRPr="00023FD1">
              <w:rPr>
                <w:sz w:val="24"/>
              </w:rPr>
              <w:t>Всі мають право направляти індивідуальні чи колективні письмові звернення або особисто звертатися до органів державної влади, органів місцевого самоврядування та посадових і службових осіб цих органів, що зобов'язані розглянути звернення й дати обґрунтовану відповідь у встановлений законом строк.</w:t>
            </w:r>
          </w:p>
          <w:p w:rsidR="00023FD1" w:rsidRPr="00023FD1" w:rsidRDefault="00023FD1" w:rsidP="00023FD1">
            <w:pPr>
              <w:pStyle w:val="2"/>
              <w:spacing w:line="276" w:lineRule="auto"/>
              <w:ind w:firstLine="334"/>
              <w:rPr>
                <w:sz w:val="24"/>
              </w:rPr>
            </w:pPr>
            <w:r w:rsidRPr="00023FD1">
              <w:rPr>
                <w:sz w:val="24"/>
              </w:rPr>
              <w:t xml:space="preserve">Громадяни України мають право звернутися до органів державної влади, місцевого самоврядування, об'єднань громадян, підприємств, установ, організацій  незалежно від форм власності, засобів масової інформації, посадових осіб    </w:t>
            </w:r>
            <w:r w:rsidRPr="00023FD1">
              <w:rPr>
                <w:sz w:val="24"/>
              </w:rPr>
              <w:lastRenderedPageBreak/>
              <w:t>відповідно до їх функціональних обов'язків із зауваженнями, скаргами та пропозиціями, що стосуються їх статутної діяльності, заявою або клопотанням   щодо реалізації своїх соціально-економічних, політичних та особистих прав і законних інтересів та  скаргою  про їх порушення.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40 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Конституції України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Стаття 1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Закону «Про звернення громадян» від 02.10.1996 р.</w:t>
            </w: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Надходження звернення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надходять: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- поштою;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 особистому прийомі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(для особистого прийому встановлюється графік прийому громадян, який доводиться до їх відома.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Питання вирішуються або безпосередньо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ід час прийому, або в порядку, встановленому для письмових звернень);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- через уповноважену особу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(представництво встановлюється у відповідності до вимог законодавства: нотаріальне доручення, доручення видане ЖЕК на разове вчинення дії, законний представник (напр., опікун), адвокат (з договором на представництво) та ін.);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- через органи влади;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- через засоби масової інформації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(відкритим листом, відповідь на який надається в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тих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же ЗМІ та надсилається особисто заявникові);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- від інших органів, установ, організацій.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Також звернення можуть надходити через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«гарячу лінію»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«Гаряча лінія» – процес надання пропозицій чи отримання зауважень, коментарів телефоном щодо певної проблеми/питання (Головне управління державної служби України, Наказ «Про затвердження Порядку проведення комунікативних заході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у Головдержслужбі України» від 16.02.2007 N 53).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Ст. 22 Закону «Про звернення громадян» від 02.10.1996 р.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Розділ І, пункт 1 Класифікатор звернень громадян 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(Постанова КМУ від 24.09.2008 р. №858)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У випадку звернення органів, установ, організацій за п. 6 переліку, необхідно звертатись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відповідного галузевого закону</w:t>
            </w: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Види звернення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Пропозиція (зауваження)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– звернення громадян, де висловлюються порада, рекомендація щодо діяльності органів державної влади і місцевого самоврядування, депутатів усіх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Заява (клопотання)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–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– письмове звернення з проханням про визнання за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особою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відповідного статусу, прав чи свобод тощо.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Скарга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– звернення з вимогою про поновлення прав і захист законних інтересів громадян, порушених діями (бездіяльністю),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ішеннями державних органів, органів місцевого самоврядування, підприємств, установ, організацій, об'єднань громадян, посадових осіб.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ішень, дій (бездіяльності), які можуть бути оскаржені, належать такі у сфері управлінської діяльності, внаслідок яких: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порушено права і законні інтереси чи свободи громадянина (групи громадян);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створено перешкоди для здійснення громадянином його прав і законних інтересів чи свобод;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незаконно покладено на громадянина як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небудь обов'язки або його незаконно притягнуто до відповідальності.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Статті 3, 4 Закону «Про звернення громадян» від 02.10.1996 р.</w:t>
            </w: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звернення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ід зверненнями громадян слід розуміти викладені в письмовій або усній формі пропозиції (зауваження), заяви (клопотання) і скарги.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Порушені у зверненні питання повинні стосуватись діяльності Управління, його структурних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ідрозділів.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зверненні має бути зазначено: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ізвище, ім’я, по батькові, громадянина (громадян),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ісце проживання громадянина (громадян),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- суть порушеного питання, зауваження, пропозиції, заяви чи скарги, прохання чи вимоги,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- до скарги додаються наявні у заявника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ішення або копії рішень, які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приймалися за його зверненням раніше, а також інші документи, необхідні для розгляду скарги.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Письмове звернення повинно бути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ідписане заявником (заявниками) із зазначенням дати.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Звернення повинно бути складене прийнятною для сторін мовою.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Звернення, оформлені належним чином і подані в установленому порядку,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ідлягають обов'язковому прийняттю та розгляду.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Статті 3, 5, 6, 16 Закону «Про звернення громадян» від 02.10.1996 р.</w:t>
            </w: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Прийняття та реєстрація звернень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здійснюється в день надходження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звернення.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Будь-як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 письмові звернення реєструються на реєстраційно-контрольних картках, встановленого зразка, або в журналах.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На особистому прийомі звернення реєструються на картках,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журналах або за допомогою електронно-обчислювальної техніки.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Таким чином, звернення реєструються за допомогою: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реєстраційно-контрольних карток, придатних для оброблення персональними комп’ютерами;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журналу реєстрації пропозицій, заяв і скарг;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журналу (карток)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іку особистого прийому громадян (журнальна форма реєстрації пропозицій, заяв і скарг та обліку особистого прийому громадян допускається в організаціях з річним обсягом надходження до 600 пропозицій, заяв та скарг і такою ж кількістю звернень громадян на особистому прийомі)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Діловодство за пропозиціями (зауваженнями), заявами (клопотаннями) і скаргами (далі звернення) громадян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ведеться окремо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від інших видів діловодства і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покладається на спеціально призначених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для цього посадових осіб чи на структурний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ідрозділ.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Реєстрація пропозицій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, заяв і скарг та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ік особистого прийому громадян здійснюються за такими елементами: дата надходження звернення; прізвище, ім’я, по батькові, категорія (соціальний стан) заявника; звідки одержано звернення, дата, індекс, контроль; порушені питання – короткий зміст, індекси; зміст і дата резолюції, прізвище автора, виконавець, термін виконання; дата надіслання, індекс і змі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прийняті рішення, дата зняття з контролю; номер справи за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номенклатурою.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У разі надходження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повторних звернень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, на реєстраційних формах робиться позначка «ПОВТОРНО» і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ідбирається все попереднє листування.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У разі коли про результати розгляду письмового звернення необхідно повідомити іншу організацію, усі примірники реєстраційно-контрольних форм та перший аркуш контрольованого звернення позначаються словом «КОНТРОЛЬ» або літерою «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Пункти 2, 3, 5 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Додатки №1-5 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Інструкції з діловодства за зверненнями громадян в органах державної влади і місцевого самоврядування, об’єднаннях громадян, на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ідприємствах, в установах, організаціях незалежно від форм власності, в засобах масової інформації (Постанова КМУ від 14.04.1997 р. №348)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Розділ І, ІІ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Класифікатор звернень громадян 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(Постанова КМУ від 24.09.2008 р. №858)</w:t>
            </w: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Повернення звернення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1) Порушення Вимог до звернення (повертається в 10денний строк від дня надходження з відповідними роз’ясненнями);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2) звернення повторне в той же орган, від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тієї ж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особи, з того ж питання, якщо перше вирішене по суті;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3) звернення подане недієздатною особою;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4) скарга подана з пропуском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ічного строку з моменту прийняття рішення, але не пізніше 1 місяця з часу ознайомлення заявника з прийнятим рішенням;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5) звернення не містить даних, необхідних для прийняття обґрунтованого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ішення – повертається заявнику протягом 5 днів з відповідними роз’ясненнями.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ішення приймається керівником управління з повідомленням заявника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Статті 5, 7, 8, 17 Закону «Про звернення громадян» від 02.10.1996 р.</w:t>
            </w: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Пересилання звернення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Якщо предмет звернення не відноситься до повноважень Управління, таке звернення пересилається за належністю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ізніше 5 днів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, при цьому про це повідомляється заявник.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Забороняється направляти скарги громадян для розгляду тим органам або посадовим особам, дії чи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ішення яких оскаржуються.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Забороняється безпідставна передача розгляду звернення іншим органам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Статті 7, 19 Закону «Про звернення громадян» від 02.10.1996 р.</w:t>
            </w: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та строки розгляду звернення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1) Звернення повинно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бути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перевірено об’єктивно, всебічно і вчасно;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2) у випадку звернення запиту на інформацію з обмеженим доступом – виноситься відповідна постанова, повідомляється заявник;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будь-яке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звернення повинно бути розглянуто відповідними посадовими особами Управління в термін не більше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одного місяця від дня надходження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4) звернення, що не потребують додаткового вивчення –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15 днів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якщо вирішити питання, висвітлені у зверненні неможливо протягом місяця – керівник приймає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ішення про продовження строку, але н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е більше 45 днів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з повідомленням заявника;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депутатський запит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– не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ізніш як у 15-денний строк з дня його одержання або інший строк, установлений Верховною Радою України;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народного депутата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України та депутата місцево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ї 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ади народних депутатів - протягом не більш як 10 днів з дня одержання;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8) листи-доручення і листи-запити установ вищого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івня – до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зазначеного в них терміну;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9) телеграми, в яких порушуються питання, що потребують термінового вирішення,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- до 2 днів, решта – протягом 10 дні</w:t>
            </w:r>
            <w:proofErr w:type="gramStart"/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10) звернення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ільговиків розглядаються першочергово;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11) звернення Героїв Радянського Союзу, Героїв Соціалістичної Праці, інвалідів Велико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ї В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ітчизняної війни розглядаються керівником Управління;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обґрунтованій вимозі заявника – термін розгляду звернення може бути скорочено;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письмово повідомити заявника про результати розгляду звернення;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ішення по суті звернення оформляється українською мовою (мовою роботи, діловодства і документації, а також взаємовідносин державних, партійних, громадських органів, підприємств, установ і організацій є українська мова). За бажанням громадянина таке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ішення може бути видане йому в перекладі російською мовою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15)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Скарги на </w:t>
            </w:r>
            <w:proofErr w:type="gramStart"/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ішення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загальних зборів членів колективних сільськогосподарських підприємств, акціонерних товариств, юридичних осіб, створених на основі колективної власності, а також на рішення вищих державних органів вирішують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у судовому порядку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Статті 14-23 Закону «Про звернення громадян» від 02.10.1996 р.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Додаток №17 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КМУ №1153 від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17.10.1997 р. «Про затвердження Примірної інструкції з діловодства у міністерствах, інших центральних органах виконавчої влади, Раді міні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ів Автономної Республіки Крим, місцевих органах виконавчої влади»</w:t>
            </w: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Прийоми листування з заявниками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Текст документа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повинен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бути викладений стисло, грамотно, зрозуміло, без повторів та вживання слів і зворотів, які не несуть смислового навантаження.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За загальним правилом, відповіді заявникам повинні містити, окрім необхідних реквізитів (даних про установу та (або) посадову, яка надає відповідь, дату,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вихідний номер тощо), також: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- описову частину,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- мотивувальну частину,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- резолютивну частину.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В описовій частині дуже коротко викладається суть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іднятого заявником питання та (або) робиться посилання на звернення самого заявника.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В мотивувальній частині викладаються мотиви і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ідстави, якими керувався орган (установа, посадова особа), що прийняв рішення по результатах розгляду звернення громадян.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В резолютивній частині викладається суть прийнятого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ішення.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 надіслання відповіді громадянину, застосовуються загальні правила користування поштовим зв’язком. Адреса, за якою пересилається поштове відправлення, зазначається у такому порядку: найменування адресата у називному відмінку (для фізичних осіб – прізвище, ім’я та по-батькові), найменування вулиці, номер будинку, квартири, найменування населеного пункту, району, області, поштовий індекс (п. 58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останови КМУ від 17.08.2002 №1155 «Про затвердження правил надання послуг поштового зв’язку»).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При передачі відповідей на звернення, отримані через органи влади, до Управління повертається інформація про номер та дату реєстрації відповіді у певному органі. При особистому отриманні відповіді – відповідний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ідпис в журналі реєстрації звернень.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 5.21,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Наказ Держспоживстандарту України від 07.04.2003 р. №55 «Уніфікована система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організаційно-розпорядчої документації. Вимоги до оформлювання документів ДСТУ 4163-2003»</w:t>
            </w: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Відповідальність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Подання громадянином звернення, яке містить наклеп і образи, дискредитацію органів державної влади, органів місцевого самоврядування, об’єднань громадян та їхніх посадових осіб, керівників та інших посадових осіб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ідприємств, установ і організацій незалежно від форм власності, заклики до розпалювання національної, расової, релігійної ворожнечі та інших дій, тягне за собою відповідальність, передбачену чинним законодавством (напр., ст. 161 Кримінального кодексу України).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Витрати, зроблені управлінням у зв’язку з перевіркою звернень, які містять завідомо неправдиві відомості, можуть бути стягнуті з громадянина за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ішенням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суду.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Особисту відповідальність за стан діловодства за зверненнями громадян несуть керівники організацій.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Відповідальність за схоронність документів за пропозиціями, заявами і скаргами покладається на керівників, інших посадових осіб організацій відповідно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їх функціональних обов’язків.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До держслужбовців, крім дисциплінарних стягнень, передбачених чинним законодавством про працю України (догана і звільнення), можуть застосовуватися такі заходи дисциплінарного впливу: попередження про неповну службову відповідність; затримка до одного року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присвоєнні чергового рангу або у призначенні на вищу посаду.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Крім того, ст. 212-3 КпАП «Про порушення права на інформацію», передбачена адміністративна відповідальність посадових осіб за неправомірну відмову в наданні інформації, несвоєчасне або неповне надання інформації, надання інформації, що не відповідає дійсності, у випадках, коли така інформація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ідлягає наданню на запит громадянина чи юридичної особи відповідно до законів України «Про інформацію», «Про звернення громадян» та «Про доступ до судових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ішень».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В разі задоволення скарги орган або посадова особа, які прийняли неправомірне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ішення щодо звернення громадянина, відшкодовують йому завдані матеріальні збитки, пов’язані з поданням і розглядом скарги, обґрунтовані витрати, понесені у зв’язку з виїздом для розгляду скарги на вимогу відповідного органу, і втрачений за цей час заробіток.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Спори про стягнення витрат розглядаються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судовому порядку. </w:t>
            </w:r>
          </w:p>
          <w:p w:rsidR="00023FD1" w:rsidRPr="00023FD1" w:rsidRDefault="00023FD1" w:rsidP="00023FD1">
            <w:pPr>
              <w:spacing w:after="0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Також цивільна, адміністративна та кримінальна відповідальність згідно законодавства України передбачена як для заявників, так і для посадових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, які порушили чинне законодавство про звернення громадян.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України «Про державну службу»,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ст. 161 КК України,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ст. 212-3 КпАП,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статті 24-29 Закону «Про звернення громадян» від 02.10.1996 р.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п. 1, 9 Інструкція з діловодства за зверненнями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громадян в органах державної влади і місцевого самоврядування, об’єднаннях громадян, на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ідприємствах, в установах, організаціях незалежно від форм власності, в засобах масової інформації (Постанова КМУ від 14.04.1997 р. №348)</w:t>
            </w: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Зберігання звернень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spacing w:after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Звернення громадян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ісля їх вирішення </w:t>
            </w: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з усіма документами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щодо їх розгляду і вирішення та примірником реєстраційно-контрольної форми мають бути повернуті відповідальному працівнику, який веде діловодство за зверненнями, для централізованого формування справи, картотек, банку даних. Формування і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зберігання справ у виконавців забороняється. </w:t>
            </w:r>
          </w:p>
          <w:p w:rsidR="00023FD1" w:rsidRPr="00023FD1" w:rsidRDefault="00023FD1" w:rsidP="00023FD1">
            <w:pPr>
              <w:spacing w:after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Документи розміщуються у справах у хронологічному або алфавітному порядку.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Кожне звернення з усіма документами щодо її розгляду і вирішення становлять у справі самостійну групу і вміщуються в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м'яку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обкладинку. </w:t>
            </w:r>
          </w:p>
          <w:p w:rsidR="00023FD1" w:rsidRPr="00023FD1" w:rsidRDefault="00023FD1" w:rsidP="00023FD1">
            <w:pPr>
              <w:spacing w:after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У разі одержання повторної пропозиції, заяви, скарги або появи додаткових документів вони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ідшиваються до даної групи документів. </w:t>
            </w:r>
          </w:p>
          <w:p w:rsidR="00023FD1" w:rsidRPr="00023FD1" w:rsidRDefault="00023FD1" w:rsidP="00023FD1">
            <w:pPr>
              <w:spacing w:after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ід час формування справ перевіряється правильність спрямування документів до справи, їх комплектність. Невирішені пропозиції, заяви, скарги, а також неправильно оформлені документи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ідшивати до справ забороняється. </w:t>
            </w:r>
          </w:p>
          <w:p w:rsidR="00023FD1" w:rsidRPr="00023FD1" w:rsidRDefault="00023FD1" w:rsidP="00023FD1">
            <w:pPr>
              <w:spacing w:after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Обкладинка справи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оформляється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за встановленою формою. </w:t>
            </w:r>
          </w:p>
          <w:p w:rsidR="00023FD1" w:rsidRPr="00023FD1" w:rsidRDefault="00023FD1" w:rsidP="00023FD1">
            <w:pPr>
              <w:spacing w:after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Термін зберігання документів визначається затвердженими керівниками організацій переліками документів і номенклатурами справ, що утворюються у процесі їх діяльності. Як правило, встановлюється п'ятирічний термін зберігання пропозицій, заяв і скарг та документів, пов'язаних з їх розглядом і вирішенням. </w:t>
            </w:r>
            <w:proofErr w:type="gramEnd"/>
          </w:p>
          <w:p w:rsidR="00023FD1" w:rsidRPr="00023FD1" w:rsidRDefault="00023FD1" w:rsidP="00023FD1">
            <w:pPr>
              <w:spacing w:after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Справи,  що 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ідлягають  постійному,  а також тимчасовому (понад 10 років) зберіганню,  передаються до архівного  підрозділу організації  через  два роки після завершення діловодства за ними. Справи,  що 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ідлягають  тимчасовому  зберіганню  (до   10   років включно),   передаються   до   архівного  підрозділу  за  рішенням керівника організації.</w:t>
            </w:r>
          </w:p>
          <w:p w:rsidR="00023FD1" w:rsidRPr="00023FD1" w:rsidRDefault="00023FD1" w:rsidP="00023FD1">
            <w:pPr>
              <w:spacing w:after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ісля закінчення встановлених термінів зберігання документи за пропозиціями, заявами і скаргами підлягають знищенню у порядку, встановленому Головним архівним управлінням при Кабінеті Міністрів України.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8-10, 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додатки N 6, 7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Інструкція з діловодства за зверненнями громадян в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органах державної влади і місцевого самоврядування, об’єднаннях громадян, на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ідприємствах, в установах, організаціях незалежно від форм власності, в засобах масової інформації (Постанова КМУ від 14.04.1997 р. №348)</w:t>
            </w:r>
          </w:p>
        </w:tc>
      </w:tr>
      <w:tr w:rsidR="00023FD1" w:rsidRPr="00023FD1" w:rsidTr="00154C46">
        <w:tc>
          <w:tcPr>
            <w:tcW w:w="468" w:type="dxa"/>
          </w:tcPr>
          <w:p w:rsidR="00023FD1" w:rsidRPr="00023FD1" w:rsidRDefault="00023FD1" w:rsidP="00023F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/>
                <w:sz w:val="24"/>
                <w:szCs w:val="24"/>
              </w:rPr>
              <w:t>Аналіз надходження звернень та контроль</w:t>
            </w:r>
          </w:p>
        </w:tc>
        <w:tc>
          <w:tcPr>
            <w:tcW w:w="8928" w:type="dxa"/>
          </w:tcPr>
          <w:p w:rsidR="00023FD1" w:rsidRPr="00023FD1" w:rsidRDefault="00023FD1" w:rsidP="00023FD1">
            <w:pPr>
              <w:pStyle w:val="HTML"/>
              <w:spacing w:line="276" w:lineRule="auto"/>
              <w:ind w:firstLine="5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23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Запровадити постійний контроль за організацією роботи зі зверненнями громадян;</w:t>
            </w:r>
          </w:p>
          <w:p w:rsidR="00023FD1" w:rsidRPr="00023FD1" w:rsidRDefault="00023FD1" w:rsidP="00023FD1">
            <w:pPr>
              <w:pStyle w:val="HTML"/>
              <w:spacing w:line="276" w:lineRule="auto"/>
              <w:ind w:firstLine="5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23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Здійснювати систематичний аналіз випадків безпідставної відмови в задоволенні  законних  вимог  заявників,  проявів   упередженості, халатності та формалізму при розгляді звернень;</w:t>
            </w:r>
          </w:p>
          <w:p w:rsidR="00023FD1" w:rsidRPr="00023FD1" w:rsidRDefault="00023FD1" w:rsidP="00023FD1">
            <w:pPr>
              <w:spacing w:after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Вживати заходів   для   поновлення  прав  і  свобод  громадян, порушених унаслідок недодержання вимог законодавства про звернення громадян,  притягнення  винних  осіб  у  встановленому  порядку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відповідальності,  в тому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числі до дисциплінарної відповідальності за  невиконання  чи  неналежне виконання службових обов'язків щодо розгляду звернень громадян</w:t>
            </w:r>
          </w:p>
          <w:p w:rsidR="00023FD1" w:rsidRPr="00023FD1" w:rsidRDefault="00023FD1" w:rsidP="00023FD1">
            <w:pPr>
              <w:pStyle w:val="a3"/>
              <w:tabs>
                <w:tab w:val="num" w:pos="0"/>
                <w:tab w:val="left" w:pos="900"/>
              </w:tabs>
              <w:spacing w:after="0" w:line="276" w:lineRule="auto"/>
              <w:ind w:left="0" w:firstLine="514"/>
              <w:jc w:val="both"/>
            </w:pPr>
          </w:p>
          <w:p w:rsidR="00023FD1" w:rsidRPr="00023FD1" w:rsidRDefault="00023FD1" w:rsidP="00023FD1">
            <w:pPr>
              <w:pStyle w:val="a3"/>
              <w:tabs>
                <w:tab w:val="num" w:pos="0"/>
                <w:tab w:val="left" w:pos="900"/>
              </w:tabs>
              <w:spacing w:after="0" w:line="276" w:lineRule="auto"/>
              <w:ind w:left="0" w:firstLine="514"/>
              <w:jc w:val="both"/>
            </w:pPr>
            <w:r w:rsidRPr="00023FD1">
              <w:t>Щомісячно, з урахуванням кількості звернень із початку року, проводити аналіз і узагальнення питань, що порушуються у зверненнях громадян, особливо повторних і колективних, виявляти причини, що їх породжують, вживати заходів для розв’язання найбільш актуальних проблем.</w:t>
            </w:r>
          </w:p>
          <w:p w:rsidR="00023FD1" w:rsidRPr="00023FD1" w:rsidRDefault="00023FD1" w:rsidP="00023FD1">
            <w:pPr>
              <w:pStyle w:val="a3"/>
              <w:tabs>
                <w:tab w:val="num" w:pos="0"/>
                <w:tab w:val="left" w:pos="900"/>
              </w:tabs>
              <w:spacing w:after="0" w:line="276" w:lineRule="auto"/>
              <w:ind w:left="0" w:firstLine="514"/>
              <w:jc w:val="both"/>
            </w:pPr>
            <w:r w:rsidRPr="00023FD1">
              <w:t xml:space="preserve">Розглядати на колегіях та нарадах питання роботи із зверненнями громадян (щоквартально). </w:t>
            </w:r>
          </w:p>
          <w:p w:rsidR="00023FD1" w:rsidRPr="00023FD1" w:rsidRDefault="00023FD1" w:rsidP="00023FD1">
            <w:pPr>
              <w:autoSpaceDN w:val="0"/>
              <w:spacing w:after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Щопіврічно надавати до відділу кадрової роботи Головного управління освіти і науки</w:t>
            </w:r>
            <w:r w:rsidRPr="00023FD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інформацію про </w:t>
            </w:r>
            <w:r w:rsidRPr="0002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роботи місцевих органів управління освітою з питань виконання Закону України “Про звернення громадян” та Указу Президента України від 7 лютого 2008 року №109/2008 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 </w:t>
            </w:r>
          </w:p>
          <w:p w:rsidR="00023FD1" w:rsidRPr="00023FD1" w:rsidRDefault="00023FD1" w:rsidP="00023FD1">
            <w:pPr>
              <w:pStyle w:val="a3"/>
              <w:tabs>
                <w:tab w:val="num" w:pos="0"/>
                <w:tab w:val="left" w:pos="900"/>
              </w:tabs>
              <w:spacing w:after="0" w:line="276" w:lineRule="auto"/>
              <w:ind w:left="0" w:firstLine="514"/>
              <w:jc w:val="both"/>
            </w:pPr>
          </w:p>
          <w:p w:rsidR="00023FD1" w:rsidRPr="00023FD1" w:rsidRDefault="00023FD1" w:rsidP="00023FD1">
            <w:pPr>
              <w:pStyle w:val="a3"/>
              <w:tabs>
                <w:tab w:val="num" w:pos="0"/>
                <w:tab w:val="left" w:pos="900"/>
              </w:tabs>
              <w:spacing w:after="0" w:line="276" w:lineRule="auto"/>
              <w:ind w:left="0" w:firstLine="514"/>
              <w:jc w:val="both"/>
            </w:pPr>
            <w:r w:rsidRPr="00023FD1">
              <w:t xml:space="preserve">Щоквартально надавати до відділу кадрової роботи Головного управління освіти і науки звіти за показниками Класифікатора у порівнянні з відповідним періодом минулого року </w:t>
            </w:r>
          </w:p>
        </w:tc>
        <w:tc>
          <w:tcPr>
            <w:tcW w:w="3214" w:type="dxa"/>
          </w:tcPr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 Президента України від 7 лютого 2008 року №109/2008  «Про першочергові заходи щодо забезпечення реалізації та гарантування конституційного права на звернення </w:t>
            </w:r>
            <w:proofErr w:type="gramStart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 органів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державної влади та органів місцевого самоврядування» 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голови Харківської обласної державної адміністрації від 06.09.10 № 498 «Про стан </w:t>
            </w:r>
            <w:r w:rsidRPr="00023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роботи із зверненнями громадян за </w:t>
            </w:r>
            <w:proofErr w:type="gramStart"/>
            <w:r w:rsidRPr="00023F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bCs/>
                <w:sz w:val="24"/>
                <w:szCs w:val="24"/>
              </w:rPr>
              <w:t>ідсумками І півріччя 2010 року»</w:t>
            </w: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FD1" w:rsidRPr="00023FD1" w:rsidRDefault="00023FD1" w:rsidP="00023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Наказ начальника Головного управління освіти і науки Харківської ОДА від 30.09.10  </w:t>
            </w:r>
            <w:r w:rsidRPr="00023F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23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532 «Про стан роботи із зверненнями громадян за </w:t>
            </w:r>
            <w:proofErr w:type="gramStart"/>
            <w:r w:rsidRPr="00023F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23FD1">
              <w:rPr>
                <w:rFonts w:ascii="Times New Roman" w:hAnsi="Times New Roman" w:cs="Times New Roman"/>
                <w:bCs/>
                <w:sz w:val="24"/>
                <w:szCs w:val="24"/>
              </w:rPr>
              <w:t>ідсумками І півріччя 2010 року»</w:t>
            </w:r>
          </w:p>
        </w:tc>
      </w:tr>
    </w:tbl>
    <w:p w:rsidR="00023FD1" w:rsidRPr="00023FD1" w:rsidRDefault="00023FD1" w:rsidP="00023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FD1" w:rsidRPr="00023FD1" w:rsidRDefault="00023FD1" w:rsidP="00023FD1">
      <w:pPr>
        <w:tabs>
          <w:tab w:val="lef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FD1" w:rsidRPr="00023FD1" w:rsidRDefault="00023FD1" w:rsidP="00023FD1">
      <w:pPr>
        <w:tabs>
          <w:tab w:val="lef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FD1" w:rsidRPr="00023FD1" w:rsidRDefault="00023FD1" w:rsidP="00023FD1">
      <w:pPr>
        <w:tabs>
          <w:tab w:val="lef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FD1" w:rsidRPr="00023FD1" w:rsidRDefault="00023FD1" w:rsidP="00023FD1">
      <w:pPr>
        <w:tabs>
          <w:tab w:val="lef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FD1" w:rsidRPr="00023FD1" w:rsidRDefault="00023FD1" w:rsidP="00023FD1">
      <w:pPr>
        <w:tabs>
          <w:tab w:val="lef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FD1" w:rsidRPr="00023FD1" w:rsidRDefault="00023FD1" w:rsidP="00023FD1">
      <w:pPr>
        <w:tabs>
          <w:tab w:val="lef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E17" w:rsidRPr="00023FD1" w:rsidRDefault="009D6E17" w:rsidP="00023F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6E17" w:rsidRPr="00023FD1" w:rsidSect="00023FD1">
      <w:pgSz w:w="16838" w:h="11906" w:orient="landscape"/>
      <w:pgMar w:top="1077" w:right="53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D26"/>
    <w:multiLevelType w:val="hybridMultilevel"/>
    <w:tmpl w:val="DFAA3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24BD"/>
    <w:rsid w:val="00023FD1"/>
    <w:rsid w:val="008824BD"/>
    <w:rsid w:val="009D6E17"/>
    <w:rsid w:val="00FB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23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23FD1"/>
    <w:rPr>
      <w:rFonts w:ascii="Courier New" w:eastAsia="Times New Roman" w:hAnsi="Courier New" w:cs="Courier New"/>
      <w:color w:val="000000"/>
      <w:sz w:val="21"/>
      <w:szCs w:val="21"/>
    </w:rPr>
  </w:style>
  <w:style w:type="paragraph" w:styleId="2">
    <w:name w:val="Body Text Indent 2"/>
    <w:basedOn w:val="a"/>
    <w:link w:val="20"/>
    <w:rsid w:val="00023FD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023FD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 Indent"/>
    <w:basedOn w:val="a"/>
    <w:link w:val="a4"/>
    <w:rsid w:val="00023F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023FD1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3101</Words>
  <Characters>17678</Characters>
  <Application>Microsoft Office Word</Application>
  <DocSecurity>0</DocSecurity>
  <Lines>147</Lines>
  <Paragraphs>41</Paragraphs>
  <ScaleCrop>false</ScaleCrop>
  <Company/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3</cp:revision>
  <dcterms:created xsi:type="dcterms:W3CDTF">2019-01-31T10:59:00Z</dcterms:created>
  <dcterms:modified xsi:type="dcterms:W3CDTF">2019-01-31T11:04:00Z</dcterms:modified>
</cp:coreProperties>
</file>