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18" w:rsidRDefault="00070518" w:rsidP="00E4659C">
      <w:pPr>
        <w:pStyle w:val="a5"/>
        <w:jc w:val="center"/>
        <w:rPr>
          <w:rFonts w:ascii="Times New Roman" w:hAnsi="Times New Roman" w:cs="Times New Roman"/>
          <w:b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                              </w:t>
      </w:r>
      <w:r w:rsidR="00114114"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Cs w:val="32"/>
          <w:lang w:val="uk-UA" w:eastAsia="ru-RU"/>
        </w:rPr>
        <w:t>Затверджено</w:t>
      </w:r>
      <w:r w:rsidR="00114114">
        <w:rPr>
          <w:rFonts w:ascii="Times New Roman" w:hAnsi="Times New Roman" w:cs="Times New Roman"/>
          <w:b/>
          <w:szCs w:val="32"/>
          <w:lang w:val="uk-UA" w:eastAsia="ru-RU"/>
        </w:rPr>
        <w:t>:</w:t>
      </w:r>
    </w:p>
    <w:p w:rsidR="00114114" w:rsidRDefault="00114114" w:rsidP="00E4659C">
      <w:pPr>
        <w:pStyle w:val="a5"/>
        <w:jc w:val="center"/>
        <w:rPr>
          <w:rFonts w:ascii="Times New Roman" w:hAnsi="Times New Roman" w:cs="Times New Roman"/>
          <w:b/>
          <w:szCs w:val="32"/>
          <w:lang w:val="uk-UA" w:eastAsia="ru-RU"/>
        </w:rPr>
      </w:pPr>
      <w:r>
        <w:rPr>
          <w:rFonts w:ascii="Times New Roman" w:hAnsi="Times New Roman" w:cs="Times New Roman"/>
          <w:b/>
          <w:szCs w:val="32"/>
          <w:lang w:val="uk-UA" w:eastAsia="ru-RU"/>
        </w:rPr>
        <w:t xml:space="preserve">                                                                                                       директор                В.Г.Токар</w:t>
      </w:r>
    </w:p>
    <w:p w:rsidR="00114114" w:rsidRDefault="00114114" w:rsidP="00E4659C">
      <w:pPr>
        <w:pStyle w:val="a5"/>
        <w:jc w:val="center"/>
        <w:rPr>
          <w:rFonts w:ascii="Times New Roman" w:hAnsi="Times New Roman" w:cs="Times New Roman"/>
          <w:b/>
          <w:szCs w:val="32"/>
          <w:lang w:val="uk-UA" w:eastAsia="ru-RU"/>
        </w:rPr>
      </w:pPr>
      <w:r>
        <w:rPr>
          <w:rFonts w:ascii="Times New Roman" w:hAnsi="Times New Roman" w:cs="Times New Roman"/>
          <w:b/>
          <w:szCs w:val="32"/>
          <w:lang w:val="uk-UA" w:eastAsia="ru-RU"/>
        </w:rPr>
        <w:t xml:space="preserve">                                                                                       </w:t>
      </w:r>
    </w:p>
    <w:p w:rsidR="00114114" w:rsidRPr="00070518" w:rsidRDefault="00114114" w:rsidP="00E4659C">
      <w:pPr>
        <w:pStyle w:val="a5"/>
        <w:jc w:val="center"/>
        <w:rPr>
          <w:rFonts w:ascii="Times New Roman" w:hAnsi="Times New Roman" w:cs="Times New Roman"/>
          <w:b/>
          <w:szCs w:val="32"/>
          <w:lang w:val="uk-UA" w:eastAsia="ru-RU"/>
        </w:rPr>
      </w:pPr>
      <w:r>
        <w:rPr>
          <w:rFonts w:ascii="Times New Roman" w:hAnsi="Times New Roman" w:cs="Times New Roman"/>
          <w:b/>
          <w:szCs w:val="32"/>
          <w:lang w:val="uk-UA" w:eastAsia="ru-RU"/>
        </w:rPr>
        <w:t xml:space="preserve">                                                                                        «31»</w:t>
      </w:r>
      <w:r>
        <w:rPr>
          <w:rFonts w:ascii="Times New Roman" w:hAnsi="Times New Roman" w:cs="Times New Roman"/>
          <w:b/>
          <w:szCs w:val="32"/>
          <w:u w:val="single"/>
          <w:lang w:val="uk-UA" w:eastAsia="ru-RU"/>
        </w:rPr>
        <w:t xml:space="preserve">серпня </w:t>
      </w:r>
      <w:r>
        <w:rPr>
          <w:rFonts w:ascii="Times New Roman" w:hAnsi="Times New Roman" w:cs="Times New Roman"/>
          <w:b/>
          <w:szCs w:val="32"/>
          <w:lang w:val="uk-UA" w:eastAsia="ru-RU"/>
        </w:rPr>
        <w:t xml:space="preserve"> 2020року</w:t>
      </w:r>
    </w:p>
    <w:p w:rsidR="00070518" w:rsidRDefault="00070518" w:rsidP="00E4659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val="uk-UA" w:eastAsia="ru-RU"/>
        </w:rPr>
      </w:pPr>
    </w:p>
    <w:p w:rsidR="00E4659C" w:rsidRPr="00E4659C" w:rsidRDefault="009648C9" w:rsidP="00E4659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val="uk-UA" w:eastAsia="ru-RU"/>
        </w:rPr>
      </w:pPr>
      <w:r w:rsidRPr="00070518"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План заходів, спрямованих на запобігання та протидію </w:t>
      </w:r>
      <w:proofErr w:type="spellStart"/>
      <w:r w:rsidRPr="00070518">
        <w:rPr>
          <w:rFonts w:ascii="Times New Roman" w:hAnsi="Times New Roman" w:cs="Times New Roman"/>
          <w:b/>
          <w:sz w:val="36"/>
          <w:szCs w:val="32"/>
          <w:lang w:val="uk-UA" w:eastAsia="ru-RU"/>
        </w:rPr>
        <w:t>булінгу</w:t>
      </w:r>
      <w:proofErr w:type="spellEnd"/>
      <w:r w:rsidR="00E4659C" w:rsidRPr="00070518"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</w:t>
      </w:r>
      <w:proofErr w:type="spellStart"/>
      <w:r w:rsidR="00E4659C" w:rsidRPr="00E4659C">
        <w:rPr>
          <w:rFonts w:ascii="Times New Roman" w:hAnsi="Times New Roman" w:cs="Times New Roman"/>
          <w:b/>
          <w:sz w:val="36"/>
          <w:szCs w:val="32"/>
          <w:lang w:val="uk-UA" w:eastAsia="ru-RU"/>
        </w:rPr>
        <w:t>Світличанського</w:t>
      </w:r>
      <w:proofErr w:type="spellEnd"/>
      <w:r w:rsidR="00E4659C" w:rsidRPr="00E4659C"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закладу дошкільної освіти (ясел – садка) </w:t>
      </w:r>
      <w:proofErr w:type="spellStart"/>
      <w:r w:rsidR="00E4659C" w:rsidRPr="00E4659C">
        <w:rPr>
          <w:rFonts w:ascii="Times New Roman" w:hAnsi="Times New Roman" w:cs="Times New Roman"/>
          <w:b/>
          <w:sz w:val="36"/>
          <w:szCs w:val="32"/>
          <w:lang w:val="uk-UA" w:eastAsia="ru-RU"/>
        </w:rPr>
        <w:t>Золочівської</w:t>
      </w:r>
      <w:proofErr w:type="spellEnd"/>
      <w:r w:rsidR="00E4659C" w:rsidRPr="00E4659C">
        <w:rPr>
          <w:rFonts w:ascii="Times New Roman" w:hAnsi="Times New Roman" w:cs="Times New Roman"/>
          <w:b/>
          <w:sz w:val="36"/>
          <w:szCs w:val="32"/>
          <w:lang w:val="uk-UA" w:eastAsia="ru-RU"/>
        </w:rPr>
        <w:t xml:space="preserve"> селищної ради</w:t>
      </w:r>
    </w:p>
    <w:p w:rsidR="00E4659C" w:rsidRPr="00E4659C" w:rsidRDefault="00E4659C" w:rsidP="00E4659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val="uk-UA" w:eastAsia="ru-RU"/>
        </w:rPr>
      </w:pPr>
      <w:r w:rsidRPr="00E4659C">
        <w:rPr>
          <w:rFonts w:ascii="Times New Roman" w:hAnsi="Times New Roman" w:cs="Times New Roman"/>
          <w:b/>
          <w:sz w:val="36"/>
          <w:szCs w:val="32"/>
          <w:lang w:val="uk-UA" w:eastAsia="ru-RU"/>
        </w:rPr>
        <w:t>на 2020/2021 навчальний рік</w:t>
      </w:r>
    </w:p>
    <w:p w:rsidR="009648C9" w:rsidRPr="009648C9" w:rsidRDefault="009648C9" w:rsidP="009648C9">
      <w:pPr>
        <w:shd w:val="clear" w:color="auto" w:fill="FFFFFF"/>
        <w:spacing w:line="240" w:lineRule="auto"/>
        <w:ind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r w:rsidRPr="009648C9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136"/>
        <w:gridCol w:w="2201"/>
        <w:gridCol w:w="2375"/>
      </w:tblGrid>
      <w:tr w:rsidR="009648C9" w:rsidRPr="008966E3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8966E3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 xml:space="preserve">№ </w:t>
            </w:r>
            <w:proofErr w:type="spellStart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з</w:t>
            </w:r>
            <w:proofErr w:type="spellEnd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proofErr w:type="gramStart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8966E3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Заходи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8966E3" w:rsidRDefault="009648C9" w:rsidP="009648C9">
            <w:pPr>
              <w:spacing w:after="150" w:line="240" w:lineRule="auto"/>
              <w:ind w:left="175" w:firstLine="315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Термін</w:t>
            </w:r>
            <w:proofErr w:type="spellEnd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виконання</w:t>
            </w:r>
            <w:proofErr w:type="spellEnd"/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8966E3" w:rsidRDefault="009648C9" w:rsidP="009648C9">
            <w:pPr>
              <w:spacing w:after="150" w:line="240" w:lineRule="auto"/>
              <w:ind w:left="52" w:firstLine="315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966E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Відповідальні</w:t>
            </w:r>
            <w:proofErr w:type="spellEnd"/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1</w:t>
            </w:r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Оновлення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опрацювання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 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нормативно-правових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документів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що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забезпечують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запобігання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протидію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інгу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постійно</w:t>
            </w:r>
            <w:proofErr w:type="spellEnd"/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Директор </w:t>
            </w:r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2</w:t>
            </w:r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безпечного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освітнього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середовища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в ЗДО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вільного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від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насильства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(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цькування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постійно</w:t>
            </w:r>
            <w:proofErr w:type="spellEnd"/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E465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Директор</w:t>
            </w:r>
            <w:proofErr w:type="gramStart"/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,в</w:t>
            </w:r>
            <w:proofErr w:type="gramEnd"/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ихователь, завгосп </w:t>
            </w:r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3</w:t>
            </w:r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Розробити механізм звернення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вересень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E4659C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директор</w:t>
            </w:r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4</w:t>
            </w:r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Консультація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для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вихователі</w:t>
            </w:r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</w:t>
            </w:r>
            <w:proofErr w:type="spellEnd"/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: «</w:t>
            </w:r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Як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вирішувати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дитячі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конфлікти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?»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Листопад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директор</w:t>
            </w:r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5</w:t>
            </w:r>
            <w:r w:rsidR="008966E3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Організація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роботи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«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Скриньки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довіри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» для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батьків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педагогів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оновлення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інформації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веб-сайту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проблеми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запобігання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протидію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інгу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грудень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виховат</w:t>
            </w:r>
            <w:proofErr w:type="spellEnd"/>
            <w:r w:rsidR="00E4659C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ель</w:t>
            </w:r>
          </w:p>
        </w:tc>
      </w:tr>
      <w:tr w:rsidR="009648C9" w:rsidRPr="00070518" w:rsidTr="00E4659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6</w:t>
            </w:r>
            <w:r w:rsidR="008966E3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Проведення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проф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ілактичної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роботи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щодо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запобіганню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в ЗДО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систематично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Вихователь</w:t>
            </w:r>
            <w:proofErr w:type="spellEnd"/>
          </w:p>
        </w:tc>
      </w:tr>
      <w:tr w:rsidR="009648C9" w:rsidRPr="00070518" w:rsidTr="008966E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7</w:t>
            </w:r>
            <w:r w:rsidR="008966E3"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659C" w:rsidRPr="00070518" w:rsidRDefault="009648C9" w:rsidP="00E4659C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Групова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консультація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для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педагогів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:</w:t>
            </w:r>
          </w:p>
          <w:p w:rsidR="009648C9" w:rsidRPr="00070518" w:rsidRDefault="009648C9" w:rsidP="00E4659C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«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Види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форми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9648C9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лютий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648C9" w:rsidRPr="00070518" w:rsidRDefault="00E4659C" w:rsidP="00E465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       вихователь</w:t>
            </w:r>
          </w:p>
        </w:tc>
      </w:tr>
      <w:tr w:rsidR="008966E3" w:rsidRPr="00070518" w:rsidTr="00881536">
        <w:trPr>
          <w:jc w:val="center"/>
        </w:trPr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8.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E465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</w:tc>
        <w:tc>
          <w:tcPr>
            <w:tcW w:w="22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E465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березень</w:t>
            </w:r>
          </w:p>
        </w:tc>
        <w:tc>
          <w:tcPr>
            <w:tcW w:w="2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E465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       вихователь</w:t>
            </w:r>
          </w:p>
        </w:tc>
      </w:tr>
      <w:tr w:rsidR="008966E3" w:rsidRPr="00070518" w:rsidTr="008966E3">
        <w:trPr>
          <w:trHeight w:val="789"/>
          <w:jc w:val="center"/>
        </w:trPr>
        <w:tc>
          <w:tcPr>
            <w:tcW w:w="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</w:tc>
        <w:tc>
          <w:tcPr>
            <w:tcW w:w="41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Тренінг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для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батьків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:  «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Вчимося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спілкуватися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з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дитиною</w:t>
            </w:r>
            <w:proofErr w:type="spellEnd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»</w:t>
            </w: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(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дистанційно)</w:t>
            </w:r>
          </w:p>
        </w:tc>
        <w:tc>
          <w:tcPr>
            <w:tcW w:w="22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</w:p>
        </w:tc>
      </w:tr>
      <w:tr w:rsidR="008966E3" w:rsidRPr="00070518" w:rsidTr="00DE0E8D">
        <w:trPr>
          <w:trHeight w:val="1507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  <w:t>9.</w:t>
            </w:r>
          </w:p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Консультація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: «Як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навчити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дитину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цивілізовано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виражати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гнів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?» (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проф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ілактика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  <w:t xml:space="preserve"> квітень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       вихователь</w:t>
            </w:r>
          </w:p>
        </w:tc>
      </w:tr>
      <w:tr w:rsidR="008966E3" w:rsidRPr="00070518" w:rsidTr="008966E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1</w:t>
            </w: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0.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Організація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проведення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занять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бесід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що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формують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у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дітей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уявлення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про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толерантність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по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відношенню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до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р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ізних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людей,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справедливість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порядність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   Упродовж року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Виховате</w:t>
            </w: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ль</w:t>
            </w:r>
            <w:proofErr w:type="spellEnd"/>
          </w:p>
          <w:p w:rsidR="008966E3" w:rsidRPr="00070518" w:rsidRDefault="008966E3" w:rsidP="009648C9">
            <w:pPr>
              <w:spacing w:after="150" w:line="240" w:lineRule="auto"/>
              <w:ind w:left="193" w:firstLine="315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</w:pPr>
          </w:p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</w:tc>
      </w:tr>
      <w:tr w:rsidR="008966E3" w:rsidRPr="00070518" w:rsidTr="008966E3">
        <w:trPr>
          <w:trHeight w:val="802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</w:p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1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1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left="176"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Розповсюдження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інформації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щодо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проф</w:t>
            </w:r>
            <w:proofErr w:type="gram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ілактики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булінгу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мобінгу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»: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пам’ятка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листівки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 xml:space="preserve"> , </w:t>
            </w:r>
            <w:proofErr w:type="spellStart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інформація</w:t>
            </w:r>
            <w:proofErr w:type="spellEnd"/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в куточку для батьків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9648C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  <w:t>систематично</w:t>
            </w:r>
          </w:p>
        </w:tc>
        <w:tc>
          <w:tcPr>
            <w:tcW w:w="2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E3" w:rsidRPr="00070518" w:rsidRDefault="008966E3" w:rsidP="008966E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Cs w:val="21"/>
                <w:lang w:val="uk-UA" w:eastAsia="ru-RU"/>
              </w:rPr>
            </w:pPr>
            <w:r w:rsidRPr="00070518"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val="uk-UA" w:eastAsia="ru-RU"/>
              </w:rPr>
              <w:t xml:space="preserve">        вихователь</w:t>
            </w:r>
          </w:p>
        </w:tc>
      </w:tr>
    </w:tbl>
    <w:p w:rsidR="009648C9" w:rsidRPr="00070518" w:rsidRDefault="009648C9" w:rsidP="009648C9">
      <w:pPr>
        <w:shd w:val="clear" w:color="auto" w:fill="FFFFFF"/>
        <w:spacing w:line="240" w:lineRule="auto"/>
        <w:ind w:firstLine="315"/>
        <w:jc w:val="both"/>
        <w:rPr>
          <w:rFonts w:ascii="Tahoma" w:eastAsia="Times New Roman" w:hAnsi="Tahoma" w:cs="Tahoma"/>
          <w:color w:val="000000" w:themeColor="text1"/>
          <w:szCs w:val="21"/>
          <w:lang w:eastAsia="ru-RU"/>
        </w:rPr>
      </w:pPr>
      <w:r w:rsidRPr="00070518">
        <w:rPr>
          <w:rFonts w:ascii="Tahoma" w:eastAsia="Times New Roman" w:hAnsi="Tahoma" w:cs="Tahoma"/>
          <w:color w:val="000000" w:themeColor="text1"/>
          <w:szCs w:val="21"/>
          <w:lang w:eastAsia="ru-RU"/>
        </w:rPr>
        <w:t> </w:t>
      </w:r>
    </w:p>
    <w:p w:rsidR="008966E3" w:rsidRPr="008966E3" w:rsidRDefault="008966E3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uk-UA" w:eastAsia="ru-RU"/>
        </w:rPr>
      </w:pPr>
    </w:p>
    <w:p w:rsidR="008966E3" w:rsidRDefault="008966E3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</w:pPr>
    </w:p>
    <w:p w:rsidR="008966E3" w:rsidRDefault="008966E3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</w:pPr>
    </w:p>
    <w:p w:rsidR="008966E3" w:rsidRDefault="008966E3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</w:pPr>
    </w:p>
    <w:p w:rsidR="00070518" w:rsidRPr="00070518" w:rsidRDefault="00070518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32"/>
          <w:szCs w:val="24"/>
          <w:lang w:val="uk-UA" w:eastAsia="ru-RU"/>
        </w:rPr>
      </w:pPr>
      <w:r w:rsidRPr="00070518">
        <w:rPr>
          <w:rFonts w:ascii="Helvetica" w:eastAsia="Times New Roman" w:hAnsi="Helvetica" w:cs="Helvetica"/>
          <w:b/>
          <w:bCs/>
          <w:color w:val="0B0706"/>
          <w:sz w:val="32"/>
          <w:szCs w:val="24"/>
          <w:lang w:val="uk-UA" w:eastAsia="ru-RU"/>
        </w:rPr>
        <w:t>Механізм подання та розгляд матеріалів про випадки боулінгу</w:t>
      </w:r>
    </w:p>
    <w:p w:rsidR="009648C9" w:rsidRPr="009648C9" w:rsidRDefault="00070518" w:rsidP="009648C9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  <w:t xml:space="preserve"> </w:t>
      </w:r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  (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="009648C9"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)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1.     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здобувачі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="00070518"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Св</w:t>
      </w:r>
      <w:proofErr w:type="gramEnd"/>
      <w:r w:rsidR="00070518"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ітличанського</w:t>
      </w:r>
      <w:proofErr w:type="spellEnd"/>
      <w:r w:rsidR="00070518"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 xml:space="preserve"> закладу дошкільної освіти (ясел – садка)</w:t>
      </w: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батьки та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освітнього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процесу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обов’язково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повідомити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учасниками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свідками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підозрюють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відношенню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зовнішніми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ознаками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отримали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достовірну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інформацію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м’я</w:t>
      </w:r>
      <w:proofErr w:type="spellEnd"/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пишеться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заява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конфіденційність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гарантується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про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випадок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боулінгу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).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          3.     Директор закладу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видає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проведення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інгу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скликає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засідання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          4.     До складу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такої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входять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</w:t>
      </w:r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дагогічні</w:t>
      </w:r>
      <w:proofErr w:type="spellEnd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proofErr w:type="gramStart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r w:rsidR="00070518"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,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батьки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постраждалого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булерів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зацікавлені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особи.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         5.     </w:t>
      </w:r>
      <w:proofErr w:type="spellStart"/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ішення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реєструються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окремому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журналі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зберігаються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паперовому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вигляді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оригіналами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підписів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усіх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членів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648C9" w:rsidRPr="009648C9" w:rsidRDefault="009648C9" w:rsidP="009648C9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9648C9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9648C9" w:rsidRPr="00070518" w:rsidRDefault="00070518" w:rsidP="0007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Директор закладу 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 xml:space="preserve">розглядає </w:t>
      </w:r>
      <w:proofErr w:type="spellStart"/>
      <w:r w:rsidR="009648C9"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звернення</w:t>
      </w:r>
      <w:proofErr w:type="spellEnd"/>
      <w:r w:rsidR="009648C9"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="009648C9"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встановле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ному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порядку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 xml:space="preserve"> та </w:t>
      </w:r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створює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комісію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випадків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</w:t>
      </w:r>
      <w:proofErr w:type="gram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інгу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яка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з’ясовує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обставини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="009648C9" w:rsidRP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648C9" w:rsidRPr="009648C9" w:rsidRDefault="009648C9" w:rsidP="00964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визнала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це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був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інг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а не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однораз</w:t>
      </w:r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овий</w:t>
      </w:r>
      <w:proofErr w:type="spellEnd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конфлікт</w:t>
      </w:r>
      <w:proofErr w:type="spellEnd"/>
      <w:r w:rsidR="00070518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то директор </w:t>
      </w:r>
      <w:r w:rsidR="00070518"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ЗДО</w:t>
      </w: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повідомляє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уповноважені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підрозділи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органів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Національної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поліції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Службу у справах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дітей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648C9" w:rsidRPr="009648C9" w:rsidRDefault="009648C9" w:rsidP="00964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Особи,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є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причетними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</w:t>
      </w:r>
      <w:proofErr w:type="gram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інгу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несуть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відповідно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частини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другої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13 (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правопорушень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статтею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адміністративні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правопорушення</w:t>
      </w:r>
      <w:proofErr w:type="spellEnd"/>
      <w:r w:rsidRPr="009648C9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9C4C51" w:rsidRDefault="009C4C51"/>
    <w:sectPr w:rsidR="009C4C51" w:rsidSect="0007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8B8"/>
    <w:multiLevelType w:val="multilevel"/>
    <w:tmpl w:val="F33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8C9"/>
    <w:rsid w:val="00070518"/>
    <w:rsid w:val="00114114"/>
    <w:rsid w:val="002733B5"/>
    <w:rsid w:val="00565F92"/>
    <w:rsid w:val="008966E3"/>
    <w:rsid w:val="009648C9"/>
    <w:rsid w:val="009C4C51"/>
    <w:rsid w:val="00E4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8C9"/>
    <w:rPr>
      <w:b/>
      <w:bCs/>
    </w:rPr>
  </w:style>
  <w:style w:type="paragraph" w:customStyle="1" w:styleId="rtecenter">
    <w:name w:val="rtecenter"/>
    <w:basedOn w:val="a"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6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365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11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2021-01-28T09:40:00Z</dcterms:created>
  <dcterms:modified xsi:type="dcterms:W3CDTF">2021-01-28T11:29:00Z</dcterms:modified>
</cp:coreProperties>
</file>