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1" w:rsidRPr="00267F81" w:rsidRDefault="00F07AE7" w:rsidP="00267F81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67F81" w:rsidRPr="00267F8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8187" cy="544945"/>
            <wp:effectExtent l="19050" t="0" r="0" b="0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F81"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 ОСВІТИ, МОЛОДІ ТА СПОРТУ </w:t>
      </w: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F8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67F81" w:rsidRPr="00267F81" w:rsidRDefault="00267F81" w:rsidP="00267F81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3183"/>
        <w:gridCol w:w="3182"/>
        <w:gridCol w:w="3349"/>
      </w:tblGrid>
      <w:tr w:rsidR="00267F81" w:rsidRPr="00267F81" w:rsidTr="00267F81">
        <w:tc>
          <w:tcPr>
            <w:tcW w:w="3192" w:type="dxa"/>
          </w:tcPr>
          <w:p w:rsidR="00267F81" w:rsidRPr="00267F81" w:rsidRDefault="00267F81" w:rsidP="00267F81">
            <w:pPr>
              <w:spacing w:after="0"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F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10.01.2020</w:t>
            </w:r>
          </w:p>
        </w:tc>
        <w:tc>
          <w:tcPr>
            <w:tcW w:w="3192" w:type="dxa"/>
          </w:tcPr>
          <w:p w:rsidR="00267F81" w:rsidRPr="00267F81" w:rsidRDefault="00267F81" w:rsidP="00267F81">
            <w:pPr>
              <w:spacing w:after="0" w:line="36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Золочів</w:t>
            </w:r>
          </w:p>
        </w:tc>
        <w:tc>
          <w:tcPr>
            <w:tcW w:w="3363" w:type="dxa"/>
          </w:tcPr>
          <w:p w:rsidR="00267F81" w:rsidRPr="00267F81" w:rsidRDefault="00267F81" w:rsidP="00267F81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267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267F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93685D" w:rsidRPr="00F07AE7" w:rsidRDefault="00267F81" w:rsidP="0040409A">
      <w:pPr>
        <w:shd w:val="clear" w:color="auto" w:fill="FFFFFF"/>
        <w:spacing w:after="0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0409A" w:rsidRPr="0093685D" w:rsidRDefault="0040409A" w:rsidP="0093685D">
      <w:pPr>
        <w:shd w:val="clear" w:color="auto" w:fill="FFFFFF"/>
        <w:spacing w:before="116" w:after="116"/>
        <w:ind w:right="4393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Про стан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іку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бронювання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військовозобов’язаних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F07AE7"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у 2019</w:t>
      </w:r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році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основні</w:t>
      </w:r>
      <w:proofErr w:type="spell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завданн</w:t>
      </w:r>
      <w:r w:rsidR="00F07AE7"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я</w:t>
      </w:r>
      <w:proofErr w:type="spellEnd"/>
      <w:r w:rsidR="00F07AE7"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на 2020</w:t>
      </w:r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рік</w:t>
      </w:r>
      <w:proofErr w:type="spellEnd"/>
    </w:p>
    <w:p w:rsidR="0093685D" w:rsidRPr="00F07AE7" w:rsidRDefault="0093685D" w:rsidP="0040409A">
      <w:pPr>
        <w:shd w:val="clear" w:color="auto" w:fill="FFFFFF"/>
        <w:spacing w:before="116" w:after="116" w:line="332" w:lineRule="atLeast"/>
        <w:ind w:right="439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07AE7" w:rsidRPr="00A91A2B" w:rsidRDefault="00C10BAF" w:rsidP="00C10BAF">
      <w:pPr>
        <w:shd w:val="clear" w:color="auto" w:fill="FFFFFF"/>
        <w:spacing w:after="349" w:line="360" w:lineRule="auto"/>
        <w:ind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</w:t>
      </w:r>
      <w:proofErr w:type="spellStart"/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</w:t>
      </w:r>
      <w:proofErr w:type="spellEnd"/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З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акону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«Про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мобілізаційну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ідготовку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мобілізацію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»,  ст. 15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Закону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України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«Про оборону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статтей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33, 34, 35  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Закону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України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«Про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військовий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обов’язок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військову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службу» та 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виконання</w:t>
      </w:r>
      <w:proofErr w:type="spellEnd"/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постанов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Кабінету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Міністрів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07.12.2016 № 921 «Про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затвердження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Порядку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організації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ійськовозобов'язаних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04.02.2015 №45 (в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редакції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11.01.2018 № 12) 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«Про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затвердження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Порядку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бронювання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військовозобов'язаних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органами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державної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влади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іншими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державними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органами, органами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місцевого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самоврядування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підприємствами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установами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організаціями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період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мобілізації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н</w:t>
      </w:r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</w:t>
      </w:r>
      <w:proofErr w:type="spellStart"/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воєнний</w:t>
      </w:r>
      <w:proofErr w:type="spellEnd"/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час», </w:t>
      </w:r>
      <w:proofErr w:type="spellStart"/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керуючись</w:t>
      </w:r>
      <w:proofErr w:type="spellEnd"/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статями 36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.42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59 Закону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«Про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місцеве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самоврядування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Україні</w:t>
      </w:r>
      <w:proofErr w:type="spell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</w:t>
      </w:r>
      <w:proofErr w:type="spellEnd"/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мет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ою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належної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організації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покраще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ння</w:t>
      </w:r>
      <w:proofErr w:type="spellEnd"/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стану </w:t>
      </w:r>
      <w:proofErr w:type="spellStart"/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військового</w:t>
      </w:r>
      <w:proofErr w:type="spellEnd"/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обліку</w:t>
      </w:r>
      <w:proofErr w:type="spellEnd"/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приз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овників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</w:t>
      </w:r>
      <w:proofErr w:type="gram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,</w:t>
      </w:r>
    </w:p>
    <w:p w:rsidR="00A91A2B" w:rsidRPr="00C10BAF" w:rsidRDefault="00A91A2B" w:rsidP="00C10BAF">
      <w:pPr>
        <w:shd w:val="clear" w:color="auto" w:fill="FFFFFF"/>
        <w:spacing w:before="116" w:after="116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1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НАКАЗУЮ:</w:t>
      </w:r>
    </w:p>
    <w:p w:rsidR="0040409A" w:rsidRDefault="0040409A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Взяти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відома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інформацію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 стан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військовозобов'язаних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закладах </w:t>
      </w:r>
      <w:proofErr w:type="spellStart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дошкільної</w:t>
      </w:r>
      <w:proofErr w:type="spellEnd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загальної</w:t>
      </w:r>
      <w:proofErr w:type="spellEnd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середньої</w:t>
      </w:r>
      <w:proofErr w:type="spellEnd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освіти,  </w:t>
      </w:r>
      <w:proofErr w:type="spellStart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відділі</w:t>
      </w:r>
      <w:proofErr w:type="spellEnd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освіти, </w:t>
      </w:r>
      <w:proofErr w:type="spellStart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молоді</w:t>
      </w:r>
      <w:proofErr w:type="spellEnd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спорту Золочівської </w:t>
      </w:r>
      <w:proofErr w:type="spellStart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2019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році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додається</w:t>
      </w:r>
      <w:proofErr w:type="spellEnd"/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).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60278" w:rsidRDefault="00B60278" w:rsidP="00C10BAF">
      <w:pPr>
        <w:shd w:val="clear" w:color="auto" w:fill="FFFFFF"/>
        <w:spacing w:before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Методисту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кадрових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Гончаренко Л.П.</w:t>
      </w:r>
    </w:p>
    <w:p w:rsidR="00C10BAF" w:rsidRDefault="00B60278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2.1.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підпорядкованих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07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грудня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2016 року № 921 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«Про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затвердження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Порядку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організації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ійськовозобов'язаних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="004E4CB6" w:rsidRP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зі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змінами</w:t>
      </w:r>
      <w:proofErr w:type="spell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). </w:t>
      </w:r>
    </w:p>
    <w:p w:rsidR="00C10BAF" w:rsidRDefault="00C10BAF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взаємодію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адміністративно-територіальної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одиниці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60278" w:rsidRPr="00F07AE7" w:rsidRDefault="00C10BAF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Вжити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ійськовозобов'язаних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закладах освіти Золочівської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ради.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</w:t>
      </w:r>
    </w:p>
    <w:p w:rsidR="0093685D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Керівникам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закладів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 Золочівської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3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.1.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Урахувати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роботі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інформацію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 стан </w:t>
      </w:r>
      <w:proofErr w:type="spellStart"/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</w:t>
      </w:r>
      <w:proofErr w:type="spellEnd"/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військовозобов'язаних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 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2019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році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вжити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відповідних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заходів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усунення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недоліків</w:t>
      </w:r>
      <w:proofErr w:type="spellEnd"/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.2.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абезпечити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організацію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бронювання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вимог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законодавства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.3.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атвердити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своїми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наказами </w:t>
      </w:r>
      <w:proofErr w:type="spellStart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</w:t>
      </w:r>
      <w:proofErr w:type="spellEnd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роботи</w:t>
      </w:r>
      <w:proofErr w:type="spellEnd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2020 </w:t>
      </w:r>
      <w:proofErr w:type="spellStart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рік</w:t>
      </w:r>
      <w:proofErr w:type="spellEnd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графіки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особових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карток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військово-обліковими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документами;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.4. </w:t>
      </w:r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рганізувати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час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обов’язкову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перевірку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наявності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стану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військово-облікових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документів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.5.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становити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взаємодію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комісаріатами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способів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наявності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працівників,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які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знаходяться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них на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та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затвердити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своїми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наказами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із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ійськовими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комісаріатами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2020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рік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.6.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ідряджати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осіб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відповідальних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у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визначені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планом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особових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карток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документами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0409A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.7.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абезпечити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внесення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результатів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журналу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результатів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перевірок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стану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даними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військових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комісаріатів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60278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.7.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Забезпечити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своєчасне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подання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визначені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терміни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звітної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документації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відділу освіти,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молоді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спорту Золочівської </w:t>
      </w:r>
      <w:proofErr w:type="spell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ради.</w:t>
      </w:r>
    </w:p>
    <w:p w:rsidR="0040409A" w:rsidRDefault="004E4CB6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Контроль за </w:t>
      </w:r>
      <w:proofErr w:type="spell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виконанням</w:t>
      </w:r>
      <w:proofErr w:type="spell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наказу </w:t>
      </w:r>
      <w:proofErr w:type="spellStart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залишаю</w:t>
      </w:r>
      <w:proofErr w:type="spellEnd"/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собою.</w:t>
      </w:r>
    </w:p>
    <w:p w:rsidR="00267F81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67F81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67F81" w:rsidRPr="00C43E86" w:rsidRDefault="00267F81" w:rsidP="00267F81">
      <w:pPr>
        <w:pStyle w:val="af9"/>
        <w:ind w:firstLine="0"/>
        <w:rPr>
          <w:b/>
          <w:szCs w:val="28"/>
        </w:rPr>
      </w:pPr>
      <w:r w:rsidRPr="00C43E86">
        <w:rPr>
          <w:b/>
          <w:szCs w:val="28"/>
        </w:rPr>
        <w:t>Начальник відділу освіти,</w:t>
      </w:r>
    </w:p>
    <w:p w:rsidR="00267F81" w:rsidRPr="00C43E86" w:rsidRDefault="00267F81" w:rsidP="00267F81">
      <w:pPr>
        <w:pStyle w:val="af9"/>
        <w:ind w:firstLine="0"/>
        <w:rPr>
          <w:b/>
          <w:szCs w:val="28"/>
        </w:rPr>
      </w:pPr>
      <w:r w:rsidRPr="00C43E86">
        <w:rPr>
          <w:b/>
          <w:szCs w:val="28"/>
        </w:rPr>
        <w:t>молоді та спорту</w:t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  <w:t xml:space="preserve">                                    В.</w:t>
      </w:r>
      <w:proofErr w:type="spellStart"/>
      <w:r w:rsidRPr="00C43E86">
        <w:rPr>
          <w:b/>
          <w:szCs w:val="28"/>
        </w:rPr>
        <w:t>Наговіцина</w:t>
      </w:r>
      <w:proofErr w:type="spellEnd"/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Pr="00267F81" w:rsidRDefault="00267F81" w:rsidP="00267F8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67F81" w:rsidRPr="00267F81" w:rsidRDefault="00267F81" w:rsidP="00267F81">
      <w:pPr>
        <w:ind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7F81">
        <w:rPr>
          <w:rFonts w:ascii="Times New Roman" w:hAnsi="Times New Roman" w:cs="Times New Roman"/>
          <w:sz w:val="20"/>
          <w:szCs w:val="20"/>
          <w:lang w:val="uk-UA"/>
        </w:rPr>
        <w:t xml:space="preserve">Гончаренко, 5-05-44 </w:t>
      </w:r>
    </w:p>
    <w:p w:rsidR="00267F81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267F81" w:rsidRPr="00F07AE7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0409A" w:rsidRPr="00F07AE7" w:rsidRDefault="0040409A" w:rsidP="0040409A">
      <w:pPr>
        <w:shd w:val="clear" w:color="auto" w:fill="FFFFFF"/>
        <w:spacing w:before="116" w:after="116" w:line="332" w:lineRule="atLeast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40409A" w:rsidRPr="00F07AE7" w:rsidRDefault="00C10BAF" w:rsidP="0040409A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</w:p>
    <w:p w:rsidR="0040409A" w:rsidRPr="0040409A" w:rsidRDefault="0040409A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  <w:r w:rsidRPr="0040409A"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  <w:br/>
      </w:r>
    </w:p>
    <w:p w:rsidR="0040409A" w:rsidRDefault="0040409A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  <w:r w:rsidRPr="0040409A"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  <w:br/>
      </w: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40409A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spellStart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Додаток</w:t>
      </w:r>
      <w:proofErr w:type="spellEnd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FE7029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До</w:t>
      </w:r>
      <w:proofErr w:type="gramEnd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наказу відділу освіти, </w:t>
      </w:r>
    </w:p>
    <w:p w:rsidR="00FE7029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spellStart"/>
      <w:proofErr w:type="gramStart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молод</w:t>
      </w:r>
      <w:proofErr w:type="gramEnd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та спорту </w:t>
      </w:r>
    </w:p>
    <w:p w:rsidR="00FE7029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Золочівської </w:t>
      </w:r>
      <w:proofErr w:type="spellStart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ради </w:t>
      </w:r>
    </w:p>
    <w:p w:rsidR="00FE7029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spellStart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від</w:t>
      </w:r>
      <w:proofErr w:type="spellEnd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10.01.2020 № 26</w:t>
      </w:r>
    </w:p>
    <w:p w:rsidR="0040409A" w:rsidRPr="00F74567" w:rsidRDefault="00C10BAF" w:rsidP="00F74567">
      <w:pPr>
        <w:shd w:val="clear" w:color="auto" w:fill="FFFFFF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0409A" w:rsidRPr="00DF62FA" w:rsidRDefault="0040409A" w:rsidP="00F74567">
      <w:pPr>
        <w:shd w:val="clear" w:color="auto" w:fill="FFFFFF"/>
        <w:spacing w:after="0" w:line="276" w:lineRule="auto"/>
        <w:ind w:firstLine="5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Про стан </w:t>
      </w:r>
      <w:proofErr w:type="spellStart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іку</w:t>
      </w:r>
      <w:proofErr w:type="spellEnd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E7029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військовозобов'язаних</w:t>
      </w:r>
      <w:proofErr w:type="spellEnd"/>
      <w:r w:rsidR="00FE7029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E7029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</w:t>
      </w:r>
      <w:proofErr w:type="spellEnd"/>
      <w:r w:rsidR="00FE7029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E7029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FE7029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C10BAF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40409A" w:rsidRPr="00DF62FA" w:rsidRDefault="00FE7029" w:rsidP="00F74567">
      <w:pPr>
        <w:shd w:val="clear" w:color="auto" w:fill="FFFFFF"/>
        <w:spacing w:after="0" w:line="276" w:lineRule="auto"/>
        <w:ind w:firstLine="5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у 201</w:t>
      </w:r>
      <w:r w:rsidR="00C10BAF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9</w:t>
      </w:r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році</w:t>
      </w:r>
      <w:proofErr w:type="spellEnd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завдання</w:t>
      </w:r>
      <w:proofErr w:type="spellEnd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на 2020 </w:t>
      </w:r>
      <w:proofErr w:type="spellStart"/>
      <w:proofErr w:type="gramStart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ік</w:t>
      </w:r>
      <w:proofErr w:type="spellEnd"/>
    </w:p>
    <w:p w:rsidR="0040409A" w:rsidRPr="00F74567" w:rsidRDefault="0040409A" w:rsidP="00F74567">
      <w:pPr>
        <w:shd w:val="clear" w:color="auto" w:fill="FFFFFF"/>
        <w:spacing w:before="116" w:after="116" w:line="276" w:lineRule="auto"/>
        <w:ind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Військовий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бронювання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військовозобов’язаних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відділі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освіти,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молоді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закладах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дошкільної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загальної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середньої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 Золочівської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 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був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організов</w:t>
      </w:r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аний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проводився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протягом</w:t>
      </w:r>
      <w:proofErr w:type="spellEnd"/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2019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року у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відповідності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законів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«Про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військовий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обов'язок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службу», «Про оборону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«Про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мобілізаційну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підготовку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мобілізацію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 та «Порядку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організації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затвердженого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постановою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Кабінету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Міні</w:t>
      </w:r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ів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07.12.2016 №</w:t>
      </w:r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921,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«Порядку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бронювання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військовозобов’язаних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органами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державної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влади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іншими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державними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органами, органами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місцевого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самоврядування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підприємствами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установами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організаціями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період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мобілізації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на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воєнний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час»,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затвердженого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постановою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Кабінету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Міністра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04.02.2015 №</w:t>
      </w:r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45 (в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редакції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постанови КМУ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11.01.2018 №12), </w:t>
      </w:r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наказу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Міністерства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науки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06.02.2019 № 142 «Про стан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ійськовозобов'язаних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2018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рік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завдвння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2019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»,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розпорядження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голови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Харківської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обласної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державної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</w:t>
      </w:r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дміністрації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від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28.01.2019 № 13</w:t>
      </w:r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«Про стан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військового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області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за 2018</w:t>
      </w:r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рік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завдання</w:t>
      </w:r>
      <w:proofErr w:type="spellEnd"/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 </w:t>
      </w:r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2019 </w:t>
      </w:r>
      <w:proofErr w:type="spellStart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рік</w:t>
      </w:r>
      <w:proofErr w:type="spellEnd"/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».</w:t>
      </w:r>
    </w:p>
    <w:p w:rsidR="00BB1752" w:rsidRPr="00F74567" w:rsidRDefault="00566369" w:rsidP="00F74567">
      <w:pPr>
        <w:shd w:val="clear" w:color="auto" w:fill="FFFFFF"/>
        <w:spacing w:before="116" w:after="116" w:line="276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B1752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З метою забезпечення якісного ведення військового обліку і бронювання військовозобов'язаних  вживалися такі заходи:</w:t>
      </w:r>
    </w:p>
    <w:p w:rsidR="00BB1752" w:rsidRPr="00F74567" w:rsidRDefault="00BB1752" w:rsidP="00F74567">
      <w:pPr>
        <w:pStyle w:val="ac"/>
        <w:numPr>
          <w:ilvl w:val="0"/>
          <w:numId w:val="1"/>
        </w:numPr>
        <w:shd w:val="clear" w:color="auto" w:fill="FFFFFF"/>
        <w:spacing w:before="116" w:after="116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в лютому 2019 року на нараді керівників закладів освіти селищної ради  розглядалося питання ведення військового обліку призовників та військовозобов’язаних  та бронювання військовозобов’язаних  у закладах;</w:t>
      </w:r>
    </w:p>
    <w:p w:rsidR="00BB1752" w:rsidRPr="00F74567" w:rsidRDefault="00BB1752" w:rsidP="00F74567">
      <w:pPr>
        <w:pStyle w:val="ac"/>
        <w:numPr>
          <w:ilvl w:val="0"/>
          <w:numId w:val="1"/>
        </w:numPr>
        <w:shd w:val="clear" w:color="auto" w:fill="FFFFFF"/>
        <w:spacing w:before="116" w:after="116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проведено звіряння облікових даних 189 військовозобов’язаних і призовників, які працюють в закладах  освіти з обліковими даними районного військового комісаріату;</w:t>
      </w:r>
    </w:p>
    <w:p w:rsidR="00BB1752" w:rsidRPr="00F74567" w:rsidRDefault="00BB1752" w:rsidP="00F74567">
      <w:pPr>
        <w:shd w:val="clear" w:color="auto" w:fill="FFFFFF"/>
        <w:spacing w:before="116" w:after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-  постійно надавалась методична допомога керівникам закладів освіти Золочівської селищної ради  з питань організації та ведення військового обліку і бронювання; </w:t>
      </w:r>
    </w:p>
    <w:p w:rsidR="00BB1752" w:rsidRPr="00F74567" w:rsidRDefault="00BB1752" w:rsidP="00F74567">
      <w:pPr>
        <w:shd w:val="clear" w:color="auto" w:fill="FFFFFF"/>
        <w:spacing w:before="116" w:after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-    проведено навчання керівників закладів, які відповідають за ведення військового обліку щодо організації  його ведення;</w:t>
      </w:r>
    </w:p>
    <w:p w:rsidR="00BB1752" w:rsidRPr="00F74567" w:rsidRDefault="00BB1752" w:rsidP="00F74567">
      <w:pPr>
        <w:shd w:val="clear" w:color="auto" w:fill="FFFFFF"/>
        <w:spacing w:before="116" w:after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-  методистом з кадрових питань розроблені та надані для використання в роботі  </w:t>
      </w:r>
      <w:r w:rsidRPr="00F7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«МЕТОДИЧНІ РЕКОМЕНДАЦІЇ з організації та ведення військового </w:t>
      </w:r>
      <w:r w:rsidRPr="00F7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обліку призовників і військовозобов’язаних в органах місцевого самоврядування», 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«</w:t>
      </w:r>
      <w:r w:rsidRPr="00F7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з бронювання військовозобов'язаних за органами державної влади, іншими державними органами, органами місцевого самоврядування,  та  за підприємствами,       установами  і  організаціями на період мобілізації  та на воєнний час»;  підготов</w:t>
      </w:r>
      <w:r w:rsidR="003601CE" w:rsidRPr="00F7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лено презентації з даних питань;</w:t>
      </w:r>
    </w:p>
    <w:p w:rsidR="003601CE" w:rsidRPr="00F74567" w:rsidRDefault="003601CE" w:rsidP="00F74567">
      <w:pPr>
        <w:shd w:val="clear" w:color="auto" w:fill="FFFFFF"/>
        <w:spacing w:before="116" w:after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 відділі освіти наявний тематичний стенд, де розмішені матеріали щодо військового обліку.</w:t>
      </w:r>
    </w:p>
    <w:p w:rsidR="00E12171" w:rsidRPr="00F74567" w:rsidRDefault="00BB1752" w:rsidP="00F74567">
      <w:pPr>
        <w:shd w:val="clear" w:color="auto" w:fill="FFFFFF"/>
        <w:spacing w:after="349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       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Відповідно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п.17 Порядку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бронювання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військовозобов’язаних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 органами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державної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влади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іншими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державними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органами, органами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місцевого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самоврядування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proofErr w:type="gram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</w:t>
      </w:r>
      <w:proofErr w:type="gram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ідприємствами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установами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організаціями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на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період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мобілізації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на 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воєнний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час,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затвердженого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постановою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Кабінету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Міністрів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України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04.02.2015 № 45,  у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встановлені</w:t>
      </w:r>
      <w:proofErr w:type="spellEnd"/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строки </w:t>
      </w:r>
      <w:r w:rsidR="00E12171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="00566369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</w:t>
      </w:r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акладами освіти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селищної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ради та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відділом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освіти,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молоді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та спорту </w:t>
      </w:r>
      <w:proofErr w:type="spellStart"/>
      <w:proofErr w:type="gram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</w:t>
      </w:r>
      <w:proofErr w:type="gram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ідготовлено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та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надано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до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райвійськкомату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Департаменту науки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освіти ХОДА </w:t>
      </w:r>
      <w:proofErr w:type="spellStart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звіти</w:t>
      </w:r>
      <w:proofErr w:type="spellEnd"/>
      <w:r w:rsidR="00E12171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</w:t>
      </w:r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чисельність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військовозобов’язаних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заброньовані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переліками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посад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військовозобов’язаних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бронюванню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мобілізації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воєнний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час, станом на 1 </w:t>
      </w:r>
      <w:proofErr w:type="spellStart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E12171" w:rsidRPr="00F74567">
        <w:rPr>
          <w:rFonts w:ascii="Times New Roman" w:hAnsi="Times New Roman" w:cs="Times New Roman"/>
          <w:sz w:val="28"/>
          <w:szCs w:val="28"/>
          <w:lang w:val="ru-RU"/>
        </w:rPr>
        <w:t xml:space="preserve"> 2020 року  та  </w:t>
      </w:r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наявність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технічний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транспортних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засобів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техніки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також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громадян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працюють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ідприємстві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установі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організації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таких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транспортних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засобах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>техніці</w:t>
      </w:r>
      <w:proofErr w:type="spellEnd"/>
      <w:r w:rsidR="00E12171" w:rsidRPr="00F745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станом на 20.12.2019 року. </w:t>
      </w:r>
      <w:r w:rsidR="00E12171"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</w:p>
    <w:p w:rsidR="00E12171" w:rsidRPr="00F74567" w:rsidRDefault="00CC6346" w:rsidP="00F745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ідставі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звітів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грунтовного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аналізу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роботи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2019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році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встановлено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функціонування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системи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</w:t>
      </w:r>
      <w:r w:rsidR="006E1A09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</w:t>
      </w:r>
      <w:proofErr w:type="spellEnd"/>
      <w:r w:rsidR="006E1A09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6E1A09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обліку</w:t>
      </w:r>
      <w:proofErr w:type="spellEnd"/>
      <w:r w:rsidR="006E1A09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закладах </w:t>
      </w:r>
      <w:proofErr w:type="spellStart"/>
      <w:r w:rsidR="006E1A09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дошкільної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загальної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середньої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освіти та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відділі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освіти,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молоді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спорту Золочівської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селищної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 в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цілому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організовано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відповідно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вимог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нормативно-правових</w:t>
      </w:r>
      <w:proofErr w:type="spellEnd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актів</w:t>
      </w:r>
      <w:proofErr w:type="spellEnd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щодо</w:t>
      </w:r>
      <w:proofErr w:type="spellEnd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ведення</w:t>
      </w:r>
      <w:proofErr w:type="spellEnd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військового</w:t>
      </w:r>
      <w:proofErr w:type="spellEnd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</w:t>
      </w:r>
      <w:proofErr w:type="spellEnd"/>
      <w:r w:rsidR="000F5A43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0F5A43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A09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BB1752" w:rsidRPr="00F74567" w:rsidRDefault="00BB1752" w:rsidP="00F745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6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5A43" w:rsidRPr="00F74567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5A43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E12171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ого аналізу 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роботи  </w:t>
      </w:r>
      <w:r w:rsidR="000F5A43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говорять про позитивну динаміку в цьому напрямі:</w:t>
      </w:r>
    </w:p>
    <w:p w:rsidR="0040409A" w:rsidRPr="00F74567" w:rsidRDefault="00BB1752" w:rsidP="00F74567">
      <w:pPr>
        <w:pStyle w:val="ac"/>
        <w:numPr>
          <w:ilvl w:val="0"/>
          <w:numId w:val="1"/>
        </w:numPr>
        <w:shd w:val="clear" w:color="auto" w:fill="FFFFFF"/>
        <w:spacing w:before="116" w:after="116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випадків прийняття на роботу військовозобов'язаних та призовників, у яких не оформлені належним чином військово-облікові документи та не дотримання  строків повідомлення військових комісаріатів про військовозобов'язаних та призовників, прийнятих на роботу чи звільнених з роботи не виявлено;</w:t>
      </w:r>
    </w:p>
    <w:p w:rsidR="00BB1752" w:rsidRPr="00F74567" w:rsidRDefault="00BB1752" w:rsidP="00F74567">
      <w:pPr>
        <w:shd w:val="clear" w:color="auto" w:fill="FFFFFF"/>
        <w:spacing w:before="116" w:after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забезпечена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повнота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достовірність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якість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військовозобов'язаних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призовників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BB1752" w:rsidRPr="00F74567" w:rsidRDefault="00BB1752" w:rsidP="00F74567">
      <w:pPr>
        <w:shd w:val="clear" w:color="auto" w:fill="FFFFFF"/>
        <w:spacing w:before="116" w:after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налагоджена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взаємодія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керівників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закладів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освіти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районним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військовим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комісаріатом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де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перебувають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військовому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військовозобов'язані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призовники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питань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строків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способів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проведення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звіряння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даних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особових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карток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працівників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П-2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обліковими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даними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військового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комісаріату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B1752" w:rsidRPr="00F74567" w:rsidRDefault="00BB1752" w:rsidP="00F74567">
      <w:pPr>
        <w:shd w:val="clear" w:color="auto" w:fill="FFFFFF"/>
        <w:spacing w:before="116" w:after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порушень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вимог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правил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військового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військовозобов'язаними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та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призовниками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виявлено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BB1752" w:rsidRPr="00F74567" w:rsidRDefault="00BB1752" w:rsidP="00F7456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здійснюється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оформлення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бронювання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військовозобов'язаних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період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мобілізації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на </w:t>
      </w:r>
      <w:proofErr w:type="spellStart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воєнний</w:t>
      </w:r>
      <w:proofErr w:type="spellEnd"/>
      <w:r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</w:t>
      </w:r>
      <w:r w:rsidR="006A6854" w:rsidRPr="00F745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proofErr w:type="gramEnd"/>
    </w:p>
    <w:p w:rsidR="003601CE" w:rsidRPr="00F74567" w:rsidRDefault="006A6854" w:rsidP="00F74567">
      <w:pPr>
        <w:pStyle w:val="ac"/>
        <w:numPr>
          <w:ilvl w:val="0"/>
          <w:numId w:val="1"/>
        </w:numPr>
        <w:shd w:val="clear" w:color="auto" w:fill="FFFFFF"/>
        <w:spacing w:after="349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здійснюється  оповіщення на вимогу військового комісаріату військовозобов’язаних про їх виклик до військового комісаріату   з оформленням і відповідних наказів керівників;</w:t>
      </w:r>
    </w:p>
    <w:p w:rsidR="0040409A" w:rsidRPr="00F74567" w:rsidRDefault="00BB1752" w:rsidP="00F74567">
      <w:pPr>
        <w:pStyle w:val="ac"/>
        <w:shd w:val="clear" w:color="auto" w:fill="FFFFFF"/>
        <w:spacing w:after="349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</w:t>
      </w:r>
      <w:r w:rsidR="006A6854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- </w:t>
      </w:r>
      <w:r w:rsidR="0040409A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за порушення законодавства про оборону, мобілізаційну підготовку та мобілізацію, військовий обов'язок і військову службу, до адміністративної відповідальності </w:t>
      </w:r>
      <w:r w:rsidR="004B1425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не притягнуто жодної посадової особи </w:t>
      </w:r>
      <w:r w:rsidR="0040409A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</w:t>
      </w:r>
      <w:r w:rsidR="00CC6346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</w:t>
      </w:r>
      <w:r w:rsidR="004B1425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та </w:t>
      </w:r>
      <w:r w:rsidR="00CC6346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військовозобов’язаних і</w:t>
      </w:r>
      <w:r w:rsidR="0040409A" w:rsidRPr="00F7456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призовників.</w:t>
      </w:r>
      <w:r w:rsidR="004B1425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</w:p>
    <w:p w:rsidR="003601CE" w:rsidRPr="00F74567" w:rsidRDefault="003601CE" w:rsidP="00F74567">
      <w:pPr>
        <w:pStyle w:val="ac"/>
        <w:shd w:val="clear" w:color="auto" w:fill="FFFFFF"/>
        <w:spacing w:after="349" w:line="276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>-   відомості з військово-облікових документів військовозобов’язаних в особових картках форми П-2</w:t>
      </w: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 xml:space="preserve"> заповнюються відповідно до вимог постанови Кабінету Міністрів України</w:t>
      </w: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 xml:space="preserve"> від 07.12.2016 № 921 «Про затвердження Порядку організації та ведення військового обліку призовників і військовозобов’язаних» ;</w:t>
      </w:r>
    </w:p>
    <w:p w:rsidR="003601CE" w:rsidRPr="00F74567" w:rsidRDefault="003601CE" w:rsidP="00F74567">
      <w:pPr>
        <w:pStyle w:val="ac"/>
        <w:shd w:val="clear" w:color="auto" w:fill="FFFFFF"/>
        <w:spacing w:after="349" w:line="276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 xml:space="preserve">- картотека особових карток форми П-2 військовозобов’язаних і призовників </w:t>
      </w: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F7456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>побудована з відповідно до  вимог пункту 44 Порядку;                                                       - повідомлення про всіх військовозобов’язаних, прийнятих на роботу чи звільнених з роботи надсилаються у семиденний строк до військового комісаріату;</w:t>
      </w:r>
    </w:p>
    <w:p w:rsidR="0040409A" w:rsidRPr="00F74567" w:rsidRDefault="0040409A" w:rsidP="00F74567">
      <w:pPr>
        <w:shd w:val="clear" w:color="auto" w:fill="FFFFFF"/>
        <w:spacing w:before="116" w:after="116" w:line="276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Аналіз стану військового обліку в </w:t>
      </w:r>
      <w:r w:rsidR="004B1425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закладах </w:t>
      </w:r>
      <w:proofErr w:type="spellStart"/>
      <w:r w:rsidR="004B1425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осввти</w:t>
      </w:r>
      <w:proofErr w:type="spellEnd"/>
      <w:r w:rsidR="004B1425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Золочівської селищної ради 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свідчить про наявність позитивних зрушень </w:t>
      </w:r>
      <w:r w:rsidR="004B1425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щодо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ведення військового обліку </w:t>
      </w:r>
      <w:r w:rsidR="004B1425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та забезпечення виконання військового обов’язку громадянами України.</w:t>
      </w:r>
      <w:r w:rsidR="00BB1752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</w:p>
    <w:p w:rsidR="00566369" w:rsidRPr="00F74567" w:rsidRDefault="00566369" w:rsidP="00F745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67">
        <w:rPr>
          <w:rFonts w:ascii="Times New Roman" w:hAnsi="Times New Roman" w:cs="Times New Roman"/>
          <w:sz w:val="28"/>
          <w:szCs w:val="28"/>
          <w:lang w:val="uk-UA"/>
        </w:rPr>
        <w:t>Особливої уваги</w:t>
      </w:r>
      <w:r w:rsidR="00BB1752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звичайно 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народного господарства держави з оголошенням мобілізації на умови роботи особливого періоду та забезпечення безперервної роботи  органів державної влади та управління, об’єднань, підприємств, у</w:t>
      </w:r>
      <w:r w:rsidR="006A6854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станов, організацій, 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6A6854"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. Тому це питання повинно бути під особливим контролем керівників </w:t>
      </w:r>
      <w:r w:rsidR="006A6854" w:rsidRPr="00F74567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409A" w:rsidRPr="00F74567" w:rsidRDefault="00566369" w:rsidP="00F74567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hAnsi="Times New Roman" w:cs="Times New Roman"/>
          <w:sz w:val="28"/>
          <w:szCs w:val="28"/>
          <w:lang w:val="uk-UA"/>
        </w:rPr>
        <w:t xml:space="preserve">Бронювання проводиться відповідно до переліків, затверджених постановою КМУ від 04.02.2015 №45 «Про затвердження Порядку бронювання військовозобов’язаних за органами державної влади, органами місцевого самоврядування та підприємствами, установами і організаціями на 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 мобілізації та на воєнний час»</w:t>
      </w:r>
      <w:r w:rsidR="006A6854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(в редакції постанови КМУ від 11.01.2018 №12)</w:t>
      </w:r>
      <w:r w:rsidRPr="00F74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A09" w:rsidRPr="00F74567" w:rsidRDefault="0040409A" w:rsidP="00F74567">
      <w:pPr>
        <w:shd w:val="clear" w:color="auto" w:fill="FFFFFF"/>
        <w:spacing w:before="116" w:after="116" w:line="276" w:lineRule="auto"/>
        <w:ind w:firstLine="553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Пропозиції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поліпшення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стану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</w:t>
      </w:r>
      <w:proofErr w:type="spell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бронюва</w:t>
      </w:r>
      <w:r w:rsidR="0056636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ння</w:t>
      </w:r>
      <w:proofErr w:type="spellEnd"/>
      <w:r w:rsidR="0056636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закладах освіти Золочівської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 w:rsidR="0056636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  у 2020 </w:t>
      </w:r>
      <w:proofErr w:type="spellStart"/>
      <w:r w:rsidR="0056636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році</w:t>
      </w:r>
      <w:proofErr w:type="spellEnd"/>
      <w:r w:rsidR="0056636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="00566369" w:rsidRPr="00F74567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</w:p>
    <w:p w:rsidR="0040409A" w:rsidRPr="00F74567" w:rsidRDefault="0040409A" w:rsidP="00F74567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Керівникам </w:t>
      </w:r>
      <w:r w:rsidR="0056636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закладів дошкільної та загальної середньої освіти Золочівської селищної ради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:</w:t>
      </w:r>
    </w:p>
    <w:p w:rsidR="006A6854" w:rsidRPr="006A6854" w:rsidRDefault="006A6854" w:rsidP="006A6854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абезпечити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організацію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бронювання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вимог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законодавства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6A6854" w:rsidRPr="00F07AE7" w:rsidRDefault="006A6854" w:rsidP="006A6854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атвердити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своїми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наказами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графіки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особових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карток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військово-обліковими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документами;</w:t>
      </w:r>
    </w:p>
    <w:p w:rsidR="006A6854" w:rsidRPr="00F07AE7" w:rsidRDefault="006A6854" w:rsidP="006A6854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рганізувати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час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обов’язкову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перевірку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наявності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стану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військово-облікових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документів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6A6854" w:rsidRPr="00F07AE7" w:rsidRDefault="006A6854" w:rsidP="006A6854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становити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взаємодію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комісаріатами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способів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наявності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працівників,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які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знаходяться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них на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та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затвердити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своїми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наказами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із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2020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рік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6A6854" w:rsidRPr="00F07AE7" w:rsidRDefault="006A6854" w:rsidP="006A6854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ідряджати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осіб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відповідальних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ведення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у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визначені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планом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особових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карток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документами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6A6854" w:rsidRDefault="006A6854" w:rsidP="006A6854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абезпечити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внесення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результатів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журналу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результатів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перевірок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стану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військового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обліку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призовників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звіряння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облікових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даними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районних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військових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комісаріатів</w:t>
      </w:r>
      <w:proofErr w:type="spell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858F9" w:rsidRDefault="006A6854" w:rsidP="003601CE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своєчасне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відділу освіти,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спорту Золочівської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ради.</w:t>
      </w:r>
    </w:p>
    <w:p w:rsidR="003601CE" w:rsidRDefault="003601CE" w:rsidP="003601CE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601CE" w:rsidRPr="003601CE" w:rsidRDefault="003601CE" w:rsidP="003601CE">
      <w:pPr>
        <w:shd w:val="clear" w:color="auto" w:fill="FFFFFF"/>
        <w:spacing w:before="116" w:line="360" w:lineRule="auto"/>
        <w:ind w:firstLine="0"/>
        <w:rPr>
          <w:b/>
          <w:lang w:val="ru-RU"/>
        </w:rPr>
      </w:pPr>
      <w:proofErr w:type="spellStart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Відповідальний</w:t>
      </w:r>
      <w:proofErr w:type="spellEnd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за </w:t>
      </w:r>
      <w:proofErr w:type="spellStart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ведення</w:t>
      </w:r>
      <w:proofErr w:type="spellEnd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військового</w:t>
      </w:r>
      <w:proofErr w:type="spellEnd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обл</w:t>
      </w:r>
      <w:proofErr w:type="gramEnd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іку</w:t>
      </w:r>
      <w:proofErr w:type="spellEnd"/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</w:t>
      </w:r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Л.П.Гончаренко</w:t>
      </w:r>
    </w:p>
    <w:sectPr w:rsidR="003601CE" w:rsidRPr="003601CE" w:rsidSect="003601CE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2998"/>
    <w:multiLevelType w:val="hybridMultilevel"/>
    <w:tmpl w:val="40D81B5A"/>
    <w:lvl w:ilvl="0" w:tplc="40B6FE0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409A"/>
    <w:rsid w:val="000B4EF7"/>
    <w:rsid w:val="000B534D"/>
    <w:rsid w:val="000F5A43"/>
    <w:rsid w:val="0021315A"/>
    <w:rsid w:val="00267F81"/>
    <w:rsid w:val="00294BCE"/>
    <w:rsid w:val="003601CE"/>
    <w:rsid w:val="0040409A"/>
    <w:rsid w:val="00491AB0"/>
    <w:rsid w:val="004B1425"/>
    <w:rsid w:val="004D148D"/>
    <w:rsid w:val="004E4CB6"/>
    <w:rsid w:val="00566369"/>
    <w:rsid w:val="006A6854"/>
    <w:rsid w:val="006E1A09"/>
    <w:rsid w:val="00756834"/>
    <w:rsid w:val="00817CFF"/>
    <w:rsid w:val="0093685D"/>
    <w:rsid w:val="00A34F77"/>
    <w:rsid w:val="00A91A2B"/>
    <w:rsid w:val="00B079EF"/>
    <w:rsid w:val="00B60278"/>
    <w:rsid w:val="00BB1752"/>
    <w:rsid w:val="00C10BAF"/>
    <w:rsid w:val="00C858F9"/>
    <w:rsid w:val="00CC6346"/>
    <w:rsid w:val="00DE1DA2"/>
    <w:rsid w:val="00DE3FAF"/>
    <w:rsid w:val="00DF62FA"/>
    <w:rsid w:val="00E12171"/>
    <w:rsid w:val="00F01846"/>
    <w:rsid w:val="00F075D0"/>
    <w:rsid w:val="00F07AE7"/>
    <w:rsid w:val="00F74567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customStyle="1" w:styleId="rvps9">
    <w:name w:val="rvps9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7">
    <w:name w:val="rvts7"/>
    <w:basedOn w:val="a0"/>
    <w:rsid w:val="0040409A"/>
  </w:style>
  <w:style w:type="paragraph" w:customStyle="1" w:styleId="rvps10">
    <w:name w:val="rvps10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8">
    <w:name w:val="rvps8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0409A"/>
  </w:style>
  <w:style w:type="character" w:styleId="af5">
    <w:name w:val="Hyperlink"/>
    <w:basedOn w:val="a0"/>
    <w:uiPriority w:val="99"/>
    <w:semiHidden/>
    <w:unhideWhenUsed/>
    <w:rsid w:val="0040409A"/>
    <w:rPr>
      <w:color w:val="0000FF"/>
      <w:u w:val="single"/>
    </w:rPr>
  </w:style>
  <w:style w:type="paragraph" w:customStyle="1" w:styleId="rvps21">
    <w:name w:val="rvps21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unhideWhenUsed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1">
    <w:name w:val="rvps1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7">
    <w:name w:val="rvps7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13">
    <w:name w:val="rvps13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2">
    <w:name w:val="rvps2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267F81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7F81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rsid w:val="00267F81"/>
    <w:pPr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267F81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3E92-815F-412C-93D3-48DB0CF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4</cp:revision>
  <dcterms:created xsi:type="dcterms:W3CDTF">2020-01-27T07:08:00Z</dcterms:created>
  <dcterms:modified xsi:type="dcterms:W3CDTF">2020-01-27T15:03:00Z</dcterms:modified>
</cp:coreProperties>
</file>