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907003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БОГОДУХІВСЬКИЙ РАЙОН ХАРКІВСЬКА ОБЛАСТЬ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</w:t>
      </w:r>
      <w:r w:rsidR="00907003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</w:p>
    <w:p w:rsidR="00045D97" w:rsidRPr="00867007" w:rsidRDefault="00045D97" w:rsidP="00CE463F">
      <w:pPr>
        <w:spacing w:line="360" w:lineRule="auto"/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045D97" w:rsidRPr="00867007" w:rsidRDefault="00045D97" w:rsidP="00CE463F">
      <w:pPr>
        <w:spacing w:line="360" w:lineRule="auto"/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45D97" w:rsidRPr="00CA0DC0" w:rsidRDefault="00CA0DC0" w:rsidP="00045D97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07</w:t>
      </w:r>
      <w:r w:rsidR="00A469F8">
        <w:rPr>
          <w:rFonts w:ascii="Times New Roman" w:eastAsia="Times New Roman" w:hAnsi="Times New Roman"/>
          <w:b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2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>.20</w:t>
      </w:r>
      <w:r w:rsidR="00907003" w:rsidRPr="00907003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</w:t>
      </w:r>
      <w:r w:rsidR="00045D97" w:rsidRPr="00741A87">
        <w:rPr>
          <w:rFonts w:ascii="Times New Roman" w:eastAsia="Times New Roman" w:hAnsi="Times New Roman"/>
          <w:b/>
          <w:sz w:val="28"/>
          <w:szCs w:val="28"/>
          <w:lang w:eastAsia="ru-RU"/>
        </w:rPr>
        <w:t>Золочів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220</w:t>
      </w:r>
    </w:p>
    <w:p w:rsidR="00045D97" w:rsidRDefault="00045D97" w:rsidP="00CE463F">
      <w:pPr>
        <w:tabs>
          <w:tab w:val="left" w:pos="3686"/>
        </w:tabs>
        <w:spacing w:line="360" w:lineRule="auto"/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7111" w:rsidRPr="00E47111" w:rsidRDefault="00E47111" w:rsidP="00E47111">
      <w:pPr>
        <w:rPr>
          <w:rFonts w:ascii="Times New Roman" w:hAnsi="Times New Roman"/>
          <w:b/>
          <w:sz w:val="28"/>
          <w:szCs w:val="28"/>
        </w:rPr>
      </w:pPr>
      <w:r w:rsidRPr="00E47111">
        <w:rPr>
          <w:rFonts w:ascii="Times New Roman" w:hAnsi="Times New Roman"/>
          <w:b/>
          <w:sz w:val="28"/>
          <w:szCs w:val="28"/>
        </w:rPr>
        <w:t>Про внесення змін до паспорта</w:t>
      </w:r>
    </w:p>
    <w:p w:rsidR="00E47111" w:rsidRPr="00E47111" w:rsidRDefault="00E47111" w:rsidP="00E47111">
      <w:pPr>
        <w:rPr>
          <w:rFonts w:ascii="Times New Roman" w:hAnsi="Times New Roman"/>
          <w:b/>
          <w:sz w:val="28"/>
          <w:szCs w:val="28"/>
        </w:rPr>
      </w:pPr>
      <w:r w:rsidRPr="00E47111">
        <w:rPr>
          <w:rFonts w:ascii="Times New Roman" w:hAnsi="Times New Roman"/>
          <w:b/>
          <w:sz w:val="28"/>
          <w:szCs w:val="28"/>
        </w:rPr>
        <w:t>бюджетної програми відділу освіти,</w:t>
      </w:r>
    </w:p>
    <w:p w:rsidR="00E47111" w:rsidRPr="00E47111" w:rsidRDefault="00E47111" w:rsidP="00E47111">
      <w:pPr>
        <w:rPr>
          <w:rFonts w:ascii="Times New Roman" w:hAnsi="Times New Roman"/>
          <w:b/>
          <w:sz w:val="28"/>
          <w:szCs w:val="28"/>
        </w:rPr>
      </w:pPr>
      <w:r w:rsidRPr="00E47111">
        <w:rPr>
          <w:rFonts w:ascii="Times New Roman" w:hAnsi="Times New Roman"/>
          <w:b/>
          <w:sz w:val="28"/>
          <w:szCs w:val="28"/>
        </w:rPr>
        <w:t xml:space="preserve">молоді та спорту </w:t>
      </w:r>
      <w:proofErr w:type="spellStart"/>
      <w:r w:rsidRPr="00E47111">
        <w:rPr>
          <w:rFonts w:ascii="Times New Roman" w:hAnsi="Times New Roman"/>
          <w:b/>
          <w:sz w:val="28"/>
          <w:szCs w:val="28"/>
        </w:rPr>
        <w:t>Золочівської</w:t>
      </w:r>
      <w:proofErr w:type="spellEnd"/>
    </w:p>
    <w:p w:rsidR="00E47111" w:rsidRPr="00E47111" w:rsidRDefault="00E47111" w:rsidP="00E47111">
      <w:pPr>
        <w:rPr>
          <w:rFonts w:ascii="Times New Roman" w:hAnsi="Times New Roman"/>
          <w:b/>
          <w:sz w:val="28"/>
          <w:szCs w:val="28"/>
        </w:rPr>
      </w:pPr>
      <w:r w:rsidRPr="00E47111">
        <w:rPr>
          <w:rFonts w:ascii="Times New Roman" w:hAnsi="Times New Roman"/>
          <w:b/>
          <w:sz w:val="28"/>
          <w:szCs w:val="28"/>
        </w:rPr>
        <w:t>селищної ради</w:t>
      </w:r>
    </w:p>
    <w:p w:rsidR="00045D97" w:rsidRPr="00903490" w:rsidRDefault="00045D97" w:rsidP="00CE463F">
      <w:pPr>
        <w:tabs>
          <w:tab w:val="left" w:pos="3119"/>
          <w:tab w:val="left" w:pos="3686"/>
        </w:tabs>
        <w:spacing w:line="360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7111" w:rsidRDefault="00F75B45" w:rsidP="00E47111">
      <w:pPr>
        <w:pStyle w:val="aa"/>
        <w:spacing w:line="276" w:lineRule="auto"/>
        <w:jc w:val="both"/>
        <w:rPr>
          <w:sz w:val="28"/>
          <w:szCs w:val="28"/>
          <w:lang w:val="uk-UA"/>
        </w:rPr>
      </w:pPr>
      <w:r w:rsidRPr="00F75B45">
        <w:rPr>
          <w:sz w:val="28"/>
          <w:szCs w:val="28"/>
          <w:lang w:val="uk-UA"/>
        </w:rPr>
        <w:t xml:space="preserve">      </w:t>
      </w:r>
      <w:r w:rsidR="00E47111" w:rsidRPr="00195BF3">
        <w:rPr>
          <w:sz w:val="28"/>
          <w:szCs w:val="28"/>
          <w:lang w:val="uk-UA"/>
        </w:rPr>
        <w:t>На виконання ст. 20 Бюджетного кодексу України, Закону України «</w:t>
      </w:r>
      <w:r w:rsidR="00E47111">
        <w:rPr>
          <w:sz w:val="28"/>
          <w:szCs w:val="28"/>
          <w:lang w:val="uk-UA"/>
        </w:rPr>
        <w:t>Прикінцеві та перехідні положення»</w:t>
      </w:r>
      <w:r w:rsidR="00E47111" w:rsidRPr="00195BF3">
        <w:rPr>
          <w:sz w:val="28"/>
          <w:szCs w:val="28"/>
          <w:lang w:val="uk-UA"/>
        </w:rPr>
        <w:t xml:space="preserve">, </w:t>
      </w:r>
      <w:r w:rsidR="00E47111">
        <w:rPr>
          <w:color w:val="000000"/>
          <w:sz w:val="28"/>
          <w:szCs w:val="28"/>
          <w:lang w:val="uk-UA"/>
        </w:rPr>
        <w:t xml:space="preserve">згідно з </w:t>
      </w:r>
      <w:r w:rsidR="00E47111" w:rsidRPr="00F02A7A">
        <w:rPr>
          <w:color w:val="FF0000"/>
          <w:sz w:val="28"/>
          <w:szCs w:val="28"/>
          <w:lang w:val="uk-UA"/>
        </w:rPr>
        <w:t xml:space="preserve">рішення </w:t>
      </w:r>
      <w:r w:rsidR="00E47111">
        <w:rPr>
          <w:color w:val="FF0000"/>
          <w:sz w:val="28"/>
          <w:szCs w:val="28"/>
          <w:lang w:val="uk-UA"/>
        </w:rPr>
        <w:t>Х</w:t>
      </w:r>
      <w:r w:rsidR="00E47111">
        <w:rPr>
          <w:color w:val="FF0000"/>
          <w:sz w:val="28"/>
          <w:szCs w:val="28"/>
          <w:lang w:val="en-US"/>
        </w:rPr>
        <w:t>I</w:t>
      </w:r>
      <w:r>
        <w:rPr>
          <w:color w:val="FF0000"/>
          <w:sz w:val="28"/>
          <w:szCs w:val="28"/>
          <w:lang w:val="uk-UA"/>
        </w:rPr>
        <w:t>У</w:t>
      </w:r>
      <w:r w:rsidR="00E47111" w:rsidRPr="00F02A7A">
        <w:rPr>
          <w:color w:val="FF0000"/>
          <w:sz w:val="28"/>
          <w:szCs w:val="28"/>
          <w:lang w:val="uk-UA"/>
        </w:rPr>
        <w:t xml:space="preserve">  сесії селищної ради УІІІ скликання від </w:t>
      </w:r>
      <w:r>
        <w:rPr>
          <w:color w:val="FF0000"/>
          <w:sz w:val="28"/>
          <w:szCs w:val="28"/>
          <w:lang w:val="uk-UA"/>
        </w:rPr>
        <w:t>01</w:t>
      </w:r>
      <w:r w:rsidR="00E47111">
        <w:rPr>
          <w:color w:val="FF0000"/>
          <w:sz w:val="28"/>
          <w:szCs w:val="28"/>
          <w:lang w:val="uk-UA"/>
        </w:rPr>
        <w:t>.</w:t>
      </w:r>
      <w:r>
        <w:rPr>
          <w:color w:val="FF0000"/>
          <w:sz w:val="28"/>
          <w:szCs w:val="28"/>
          <w:lang w:val="uk-UA"/>
        </w:rPr>
        <w:t>12</w:t>
      </w:r>
      <w:r w:rsidR="00E47111" w:rsidRPr="00F02A7A">
        <w:rPr>
          <w:color w:val="FF0000"/>
          <w:sz w:val="28"/>
          <w:szCs w:val="28"/>
          <w:lang w:val="uk-UA"/>
        </w:rPr>
        <w:t>.202</w:t>
      </w:r>
      <w:r w:rsidR="00E47111">
        <w:rPr>
          <w:color w:val="FF0000"/>
          <w:sz w:val="28"/>
          <w:szCs w:val="28"/>
          <w:lang w:val="uk-UA"/>
        </w:rPr>
        <w:t>1</w:t>
      </w:r>
      <w:r w:rsidR="00E47111" w:rsidRPr="00F02A7A">
        <w:rPr>
          <w:color w:val="FF0000"/>
          <w:sz w:val="28"/>
          <w:szCs w:val="28"/>
          <w:lang w:val="uk-UA"/>
        </w:rPr>
        <w:t xml:space="preserve"> року №</w:t>
      </w:r>
      <w:r>
        <w:rPr>
          <w:color w:val="FF0000"/>
          <w:sz w:val="28"/>
          <w:szCs w:val="28"/>
          <w:lang w:val="uk-UA"/>
        </w:rPr>
        <w:t xml:space="preserve"> 2985</w:t>
      </w:r>
      <w:r w:rsidR="00E47111">
        <w:rPr>
          <w:sz w:val="28"/>
          <w:szCs w:val="28"/>
          <w:lang w:val="uk-UA"/>
        </w:rPr>
        <w:t xml:space="preserve"> «Про внесення змін до рішення селищної ради від 22.12.2020 року №34 </w:t>
      </w:r>
      <w:r w:rsidR="00E47111" w:rsidRPr="00195BF3">
        <w:rPr>
          <w:sz w:val="28"/>
          <w:szCs w:val="28"/>
          <w:lang w:val="uk-UA"/>
        </w:rPr>
        <w:t xml:space="preserve"> «Про </w:t>
      </w:r>
      <w:r w:rsidR="00E47111">
        <w:rPr>
          <w:sz w:val="28"/>
          <w:szCs w:val="28"/>
          <w:lang w:val="uk-UA"/>
        </w:rPr>
        <w:t>селищний бюджет на 2021 рік» та додатків до нього»</w:t>
      </w:r>
      <w:r w:rsidR="00E47111" w:rsidRPr="00195BF3">
        <w:rPr>
          <w:sz w:val="28"/>
          <w:szCs w:val="28"/>
          <w:lang w:val="uk-UA"/>
        </w:rPr>
        <w:t>,</w:t>
      </w:r>
      <w:r w:rsidR="00E47111">
        <w:rPr>
          <w:sz w:val="28"/>
          <w:szCs w:val="28"/>
          <w:lang w:val="uk-UA"/>
        </w:rPr>
        <w:t xml:space="preserve"> 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 «Про </w:t>
      </w:r>
      <w:proofErr w:type="spellStart"/>
      <w:r w:rsidR="00E47111">
        <w:rPr>
          <w:sz w:val="28"/>
          <w:szCs w:val="28"/>
          <w:lang w:val="uk-UA"/>
        </w:rPr>
        <w:t>декі</w:t>
      </w:r>
      <w:proofErr w:type="spellEnd"/>
      <w:r w:rsidR="00E47111">
        <w:rPr>
          <w:sz w:val="28"/>
          <w:szCs w:val="28"/>
          <w:lang w:val="uk-UA"/>
        </w:rPr>
        <w:t xml:space="preserve"> питання запровадження програмно-цільового методу складання та виконання місцевих бюджетів» (у редакції наказу Міністерства фінансів України від 15 листопада 2018 року №908),</w:t>
      </w:r>
      <w:r w:rsidR="00F020F1">
        <w:rPr>
          <w:sz w:val="28"/>
          <w:szCs w:val="28"/>
          <w:lang w:val="uk-UA"/>
        </w:rPr>
        <w:t xml:space="preserve"> наказ Міністерства фінансів України від 02.01.2019 №1 «Про затвердження Методичних рекомендацій щодо впровадження та застосування </w:t>
      </w:r>
      <w:proofErr w:type="spellStart"/>
      <w:r w:rsidR="00F020F1">
        <w:rPr>
          <w:sz w:val="28"/>
          <w:szCs w:val="28"/>
          <w:lang w:val="uk-UA"/>
        </w:rPr>
        <w:t>гендерноорієнтованого</w:t>
      </w:r>
      <w:proofErr w:type="spellEnd"/>
      <w:r w:rsidR="00F020F1">
        <w:rPr>
          <w:sz w:val="28"/>
          <w:szCs w:val="28"/>
          <w:lang w:val="uk-UA"/>
        </w:rPr>
        <w:t xml:space="preserve"> підходу в бюджетному процесі»,</w:t>
      </w:r>
      <w:r w:rsidR="00E47111">
        <w:rPr>
          <w:sz w:val="28"/>
          <w:szCs w:val="28"/>
          <w:lang w:val="uk-UA"/>
        </w:rPr>
        <w:t xml:space="preserve"> а також з</w:t>
      </w:r>
      <w:r w:rsidR="00E47111" w:rsidRPr="00195BF3">
        <w:rPr>
          <w:sz w:val="28"/>
          <w:szCs w:val="28"/>
          <w:lang w:val="uk-UA"/>
        </w:rPr>
        <w:t xml:space="preserve"> метою здійснення </w:t>
      </w:r>
      <w:r w:rsidR="00E47111">
        <w:rPr>
          <w:sz w:val="28"/>
          <w:szCs w:val="28"/>
          <w:lang w:val="uk-UA"/>
        </w:rPr>
        <w:t xml:space="preserve">моніторингу, </w:t>
      </w:r>
      <w:r w:rsidR="00E47111" w:rsidRPr="00195BF3">
        <w:rPr>
          <w:sz w:val="28"/>
          <w:szCs w:val="28"/>
          <w:lang w:val="uk-UA"/>
        </w:rPr>
        <w:t>оцінки ефективності бюджетних програм</w:t>
      </w:r>
      <w:r w:rsidR="00E47111">
        <w:rPr>
          <w:sz w:val="28"/>
          <w:szCs w:val="28"/>
          <w:lang w:val="uk-UA"/>
        </w:rPr>
        <w:t>и,</w:t>
      </w:r>
    </w:p>
    <w:p w:rsidR="00E47111" w:rsidRPr="00195BF3" w:rsidRDefault="00E47111" w:rsidP="00E47111">
      <w:pPr>
        <w:pStyle w:val="aa"/>
        <w:spacing w:line="276" w:lineRule="auto"/>
        <w:jc w:val="both"/>
        <w:rPr>
          <w:sz w:val="28"/>
          <w:szCs w:val="28"/>
          <w:lang w:val="uk-UA"/>
        </w:rPr>
      </w:pPr>
    </w:p>
    <w:p w:rsidR="00E47111" w:rsidRPr="00CA0DC0" w:rsidRDefault="00E47111" w:rsidP="00E47111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A0DC0">
        <w:rPr>
          <w:rFonts w:ascii="Times New Roman" w:hAnsi="Times New Roman"/>
          <w:b/>
          <w:sz w:val="28"/>
          <w:szCs w:val="28"/>
        </w:rPr>
        <w:t>НАКАЗУЮ:</w:t>
      </w:r>
    </w:p>
    <w:p w:rsidR="00E47111" w:rsidRPr="00A4340B" w:rsidRDefault="00E47111" w:rsidP="00E47111">
      <w:pPr>
        <w:spacing w:line="276" w:lineRule="auto"/>
        <w:rPr>
          <w:b/>
          <w:sz w:val="28"/>
          <w:szCs w:val="28"/>
        </w:rPr>
      </w:pPr>
    </w:p>
    <w:p w:rsidR="00E47111" w:rsidRDefault="00F75B45" w:rsidP="00F75B45">
      <w:pPr>
        <w:pStyle w:val="a8"/>
        <w:spacing w:line="276" w:lineRule="auto"/>
        <w:jc w:val="both"/>
        <w:rPr>
          <w:szCs w:val="28"/>
        </w:rPr>
      </w:pPr>
      <w:r w:rsidRPr="00F75B45">
        <w:rPr>
          <w:szCs w:val="28"/>
          <w:lang w:val="ru-RU"/>
        </w:rPr>
        <w:t xml:space="preserve">1. </w:t>
      </w:r>
      <w:r w:rsidR="00E47111" w:rsidRPr="00195BF3">
        <w:rPr>
          <w:szCs w:val="28"/>
        </w:rPr>
        <w:t>Затвердити паспорт бюджетн</w:t>
      </w:r>
      <w:r w:rsidR="00E47111">
        <w:rPr>
          <w:szCs w:val="28"/>
        </w:rPr>
        <w:t>ої програми у новій редакції:</w:t>
      </w:r>
    </w:p>
    <w:p w:rsidR="00E47111" w:rsidRPr="00195BF3" w:rsidRDefault="00E47111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 xml:space="preserve">1.1. </w:t>
      </w:r>
      <w:r w:rsidRPr="00195BF3">
        <w:rPr>
          <w:szCs w:val="28"/>
        </w:rPr>
        <w:t xml:space="preserve">За КПКВК МБ </w:t>
      </w:r>
      <w:r w:rsidRPr="00195BF3">
        <w:rPr>
          <w:color w:val="000000"/>
          <w:szCs w:val="28"/>
        </w:rPr>
        <w:t>061</w:t>
      </w:r>
      <w:r w:rsidRPr="00C30FD6">
        <w:rPr>
          <w:szCs w:val="28"/>
        </w:rPr>
        <w:t>1021</w:t>
      </w:r>
      <w:r w:rsidRPr="00195BF3">
        <w:rPr>
          <w:szCs w:val="28"/>
        </w:rPr>
        <w:t xml:space="preserve"> </w:t>
      </w:r>
      <w:r w:rsidRPr="00195BF3">
        <w:rPr>
          <w:bCs/>
          <w:szCs w:val="28"/>
        </w:rPr>
        <w:t xml:space="preserve">Надання </w:t>
      </w:r>
      <w:r>
        <w:rPr>
          <w:bCs/>
          <w:szCs w:val="28"/>
        </w:rPr>
        <w:t>загальної середньої освіти закладами загальної середньої освіти</w:t>
      </w:r>
      <w:r>
        <w:rPr>
          <w:szCs w:val="28"/>
        </w:rPr>
        <w:t>, що додається.</w:t>
      </w:r>
    </w:p>
    <w:p w:rsidR="00E47111" w:rsidRDefault="00E47111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933B74">
        <w:rPr>
          <w:szCs w:val="28"/>
        </w:rPr>
        <w:t>2</w:t>
      </w:r>
      <w:r>
        <w:rPr>
          <w:szCs w:val="28"/>
        </w:rPr>
        <w:t>. За КПКВК МБ 061</w:t>
      </w:r>
      <w:r w:rsidRPr="00C30FD6">
        <w:rPr>
          <w:szCs w:val="28"/>
        </w:rPr>
        <w:t>1061</w:t>
      </w:r>
      <w:r>
        <w:rPr>
          <w:szCs w:val="28"/>
        </w:rPr>
        <w:t xml:space="preserve"> Надання загальної середньої освіти закладами загальної середньої освіти, що додається.</w:t>
      </w:r>
    </w:p>
    <w:p w:rsidR="00E47111" w:rsidRDefault="00E47111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33B74">
        <w:rPr>
          <w:szCs w:val="28"/>
        </w:rPr>
        <w:t>3</w:t>
      </w:r>
      <w:r>
        <w:rPr>
          <w:szCs w:val="28"/>
        </w:rPr>
        <w:t>. За КПКВК МБ 061</w:t>
      </w:r>
      <w:r w:rsidRPr="00C30FD6">
        <w:rPr>
          <w:szCs w:val="28"/>
        </w:rPr>
        <w:t>1070</w:t>
      </w:r>
      <w:r>
        <w:rPr>
          <w:szCs w:val="28"/>
        </w:rPr>
        <w:t xml:space="preserve"> Надання позашкільної освіти закладами позашкільної освіти, заходи із позашкільної роботи з дітьми, що додається.</w:t>
      </w:r>
    </w:p>
    <w:p w:rsidR="00E47111" w:rsidRDefault="00E47111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933B74">
        <w:rPr>
          <w:szCs w:val="28"/>
        </w:rPr>
        <w:t>4</w:t>
      </w:r>
      <w:r>
        <w:rPr>
          <w:szCs w:val="28"/>
        </w:rPr>
        <w:t>. За КПКВК МБ 061</w:t>
      </w:r>
      <w:r w:rsidRPr="00C30FD6">
        <w:rPr>
          <w:szCs w:val="28"/>
        </w:rPr>
        <w:t>1141</w:t>
      </w:r>
      <w:r>
        <w:rPr>
          <w:szCs w:val="28"/>
        </w:rPr>
        <w:t xml:space="preserve"> Забезпечення діяльності інших закладів у сфері освіти, що додається.</w:t>
      </w:r>
    </w:p>
    <w:p w:rsidR="00F75B45" w:rsidRDefault="00F75B45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933B74">
        <w:rPr>
          <w:szCs w:val="28"/>
        </w:rPr>
        <w:t>5</w:t>
      </w:r>
      <w:r>
        <w:rPr>
          <w:szCs w:val="28"/>
        </w:rPr>
        <w:t>. За КПКВК МБ 061</w:t>
      </w:r>
      <w:r w:rsidRPr="00C30FD6">
        <w:rPr>
          <w:szCs w:val="28"/>
        </w:rPr>
        <w:t>1142</w:t>
      </w:r>
      <w:r>
        <w:rPr>
          <w:szCs w:val="28"/>
        </w:rPr>
        <w:t xml:space="preserve"> Інші програми та заходи у сфері освіти, що додається.</w:t>
      </w:r>
    </w:p>
    <w:p w:rsidR="00E47111" w:rsidRDefault="00E47111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933B74">
        <w:rPr>
          <w:szCs w:val="28"/>
        </w:rPr>
        <w:t>6</w:t>
      </w:r>
      <w:r>
        <w:rPr>
          <w:szCs w:val="28"/>
        </w:rPr>
        <w:t>. За КПКВК МБ 061</w:t>
      </w:r>
      <w:r w:rsidRPr="00C30FD6">
        <w:rPr>
          <w:szCs w:val="28"/>
        </w:rPr>
        <w:t>1182</w:t>
      </w:r>
      <w:r>
        <w:rPr>
          <w:szCs w:val="28"/>
        </w:rPr>
        <w:t xml:space="preserve"> 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бюджетам, що додається.</w:t>
      </w:r>
    </w:p>
    <w:p w:rsidR="00933B74" w:rsidRDefault="00933B74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1.7. За КПКВК МБ 061</w:t>
      </w:r>
      <w:r w:rsidRPr="00C30FD6">
        <w:rPr>
          <w:szCs w:val="28"/>
        </w:rPr>
        <w:t>1200</w:t>
      </w:r>
      <w:r>
        <w:rPr>
          <w:szCs w:val="28"/>
        </w:rPr>
        <w:t xml:space="preserve"> </w:t>
      </w:r>
      <w:r w:rsidR="00C30FD6">
        <w:rPr>
          <w:szCs w:val="28"/>
        </w:rPr>
        <w:t xml:space="preserve"> </w:t>
      </w:r>
      <w:r>
        <w:rPr>
          <w:szCs w:val="28"/>
        </w:rPr>
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потребами, що додається.</w:t>
      </w:r>
    </w:p>
    <w:p w:rsidR="00E47111" w:rsidRDefault="00E47111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142C88">
        <w:rPr>
          <w:szCs w:val="28"/>
        </w:rPr>
        <w:t>8</w:t>
      </w:r>
      <w:r>
        <w:rPr>
          <w:szCs w:val="28"/>
        </w:rPr>
        <w:t>. За КПКВК МБ 061</w:t>
      </w:r>
      <w:r w:rsidRPr="00C30FD6">
        <w:rPr>
          <w:szCs w:val="28"/>
        </w:rPr>
        <w:t>5031</w:t>
      </w:r>
      <w:r>
        <w:rPr>
          <w:szCs w:val="28"/>
        </w:rPr>
        <w:t xml:space="preserve"> Утримання та навчально-тренувальна робота комунальних дитячо-юнацьких спортивних шкіл, що додається.</w:t>
      </w:r>
    </w:p>
    <w:p w:rsidR="00933B74" w:rsidRDefault="00933B74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142C88">
        <w:rPr>
          <w:szCs w:val="28"/>
        </w:rPr>
        <w:t>9</w:t>
      </w:r>
      <w:r>
        <w:rPr>
          <w:szCs w:val="28"/>
        </w:rPr>
        <w:t>. За КПКВК МБ 061</w:t>
      </w:r>
      <w:r w:rsidRPr="00C30FD6">
        <w:rPr>
          <w:szCs w:val="28"/>
        </w:rPr>
        <w:t>5042</w:t>
      </w:r>
      <w:r>
        <w:rPr>
          <w:szCs w:val="28"/>
        </w:rPr>
        <w:t xml:space="preserve"> Фінансова підтримка спортивних споруд, які належать г</w:t>
      </w:r>
      <w:r w:rsidR="00142C88">
        <w:rPr>
          <w:szCs w:val="28"/>
        </w:rPr>
        <w:t>ромадським об’єднанням фізкультурно-спортивної спрямованості</w:t>
      </w:r>
      <w:r>
        <w:rPr>
          <w:szCs w:val="28"/>
        </w:rPr>
        <w:t>,</w:t>
      </w:r>
      <w:r w:rsidR="00142C88">
        <w:rPr>
          <w:szCs w:val="28"/>
        </w:rPr>
        <w:t xml:space="preserve"> що додається.</w:t>
      </w:r>
    </w:p>
    <w:p w:rsidR="00142C88" w:rsidRDefault="00142C88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1.10. За КПКВК МБ 061</w:t>
      </w:r>
      <w:r w:rsidRPr="00C30FD6">
        <w:rPr>
          <w:szCs w:val="28"/>
        </w:rPr>
        <w:t>5053</w:t>
      </w:r>
      <w:r>
        <w:rPr>
          <w:szCs w:val="28"/>
        </w:rPr>
        <w:t xml:space="preserve"> Фінансова підтримка на утримання місцевих осередків (рад) всеукраїнських об’єднань фізкультурно-спортивної спрямованості, що додається.</w:t>
      </w:r>
    </w:p>
    <w:p w:rsidR="00142C88" w:rsidRDefault="00142C88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1.11. За КПКВК МБ 061</w:t>
      </w:r>
      <w:r w:rsidRPr="00C30FD6">
        <w:rPr>
          <w:szCs w:val="28"/>
        </w:rPr>
        <w:t>7321</w:t>
      </w:r>
      <w:r>
        <w:rPr>
          <w:szCs w:val="28"/>
        </w:rPr>
        <w:t xml:space="preserve"> Будівництво освітніх установ та закладів, що додається.</w:t>
      </w:r>
    </w:p>
    <w:p w:rsidR="00142C88" w:rsidRDefault="00142C88" w:rsidP="00E47111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1.12. За КПКВК МБ 061</w:t>
      </w:r>
      <w:r w:rsidRPr="00C30FD6">
        <w:rPr>
          <w:szCs w:val="28"/>
        </w:rPr>
        <w:t>7368</w:t>
      </w:r>
      <w:r>
        <w:rPr>
          <w:szCs w:val="28"/>
        </w:rPr>
        <w:t xml:space="preserve"> Виконання інвестиційних проектів за рахунок субвенцій з інших бюджетів, що додається.</w:t>
      </w:r>
    </w:p>
    <w:p w:rsidR="00E47111" w:rsidRDefault="00E47111" w:rsidP="00E47111">
      <w:pPr>
        <w:pStyle w:val="a8"/>
        <w:spacing w:line="360" w:lineRule="auto"/>
        <w:jc w:val="both"/>
        <w:rPr>
          <w:szCs w:val="28"/>
        </w:rPr>
      </w:pPr>
    </w:p>
    <w:p w:rsidR="00E47111" w:rsidRPr="00E47111" w:rsidRDefault="00E47111" w:rsidP="00E47111">
      <w:pPr>
        <w:pStyle w:val="a8"/>
        <w:spacing w:line="276" w:lineRule="auto"/>
        <w:jc w:val="both"/>
        <w:rPr>
          <w:b/>
          <w:szCs w:val="28"/>
        </w:rPr>
      </w:pPr>
      <w:r w:rsidRPr="00E47111">
        <w:rPr>
          <w:b/>
          <w:szCs w:val="28"/>
        </w:rPr>
        <w:t>Начальник відділу освіти,</w:t>
      </w:r>
    </w:p>
    <w:p w:rsidR="00E47111" w:rsidRPr="004600F3" w:rsidRDefault="00E47111" w:rsidP="00E47111">
      <w:pPr>
        <w:spacing w:line="276" w:lineRule="auto"/>
        <w:rPr>
          <w:b/>
          <w:sz w:val="28"/>
          <w:szCs w:val="28"/>
        </w:rPr>
      </w:pPr>
      <w:r w:rsidRPr="00E47111">
        <w:rPr>
          <w:rFonts w:ascii="Times New Roman" w:hAnsi="Times New Roman"/>
          <w:b/>
          <w:sz w:val="28"/>
          <w:szCs w:val="28"/>
        </w:rPr>
        <w:t xml:space="preserve">молоді та спорту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30481">
        <w:rPr>
          <w:rFonts w:ascii="Times New Roman" w:hAnsi="Times New Roman"/>
          <w:b/>
          <w:sz w:val="28"/>
          <w:szCs w:val="28"/>
        </w:rPr>
        <w:t xml:space="preserve">      </w:t>
      </w:r>
      <w:r w:rsidRPr="00E47111">
        <w:rPr>
          <w:rFonts w:ascii="Times New Roman" w:hAnsi="Times New Roman"/>
          <w:b/>
          <w:sz w:val="28"/>
          <w:szCs w:val="28"/>
        </w:rPr>
        <w:t xml:space="preserve">Валентина </w:t>
      </w:r>
      <w:r w:rsidR="00830481">
        <w:rPr>
          <w:rFonts w:ascii="Times New Roman" w:hAnsi="Times New Roman"/>
          <w:b/>
          <w:sz w:val="28"/>
          <w:szCs w:val="28"/>
        </w:rPr>
        <w:t>НАГОВІЦИНА</w:t>
      </w: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3B31" w:rsidRDefault="00103B31" w:rsidP="00CE463F">
      <w:pPr>
        <w:rPr>
          <w:rFonts w:ascii="Times New Roman" w:hAnsi="Times New Roman"/>
          <w:sz w:val="28"/>
          <w:szCs w:val="28"/>
        </w:rPr>
      </w:pPr>
    </w:p>
    <w:p w:rsidR="00045D97" w:rsidRPr="002E5D56" w:rsidRDefault="002E5D56" w:rsidP="00103B3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</w:rPr>
        <w:t xml:space="preserve">З наказом ознайомлені:  </w:t>
      </w:r>
      <w:r w:rsidRPr="002E5D56">
        <w:rPr>
          <w:rFonts w:ascii="Times New Roman" w:hAnsi="Times New Roman"/>
          <w:sz w:val="28"/>
          <w:szCs w:val="28"/>
        </w:rPr>
        <w:tab/>
      </w:r>
    </w:p>
    <w:p w:rsidR="00D03733" w:rsidRDefault="00830481" w:rsidP="00103B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1A3E" w:rsidRPr="002E5D5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»</w:t>
      </w:r>
      <w:r w:rsidR="00ED1A3E" w:rsidRPr="002E5D56">
        <w:rPr>
          <w:rFonts w:ascii="Times New Roman" w:hAnsi="Times New Roman"/>
          <w:sz w:val="28"/>
          <w:szCs w:val="28"/>
        </w:rPr>
        <w:tab/>
      </w:r>
      <w:r w:rsidR="00ED1A3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42C88">
        <w:rPr>
          <w:rFonts w:ascii="Times New Roman" w:hAnsi="Times New Roman"/>
          <w:sz w:val="28"/>
          <w:szCs w:val="28"/>
        </w:rPr>
        <w:t>Ольга СКАЧКО</w:t>
      </w:r>
    </w:p>
    <w:sectPr w:rsidR="00D03733" w:rsidSect="002E5D56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96"/>
    <w:multiLevelType w:val="hybridMultilevel"/>
    <w:tmpl w:val="637C26F4"/>
    <w:lvl w:ilvl="0" w:tplc="1E1C82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B35"/>
    <w:multiLevelType w:val="multilevel"/>
    <w:tmpl w:val="3960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A70939"/>
    <w:multiLevelType w:val="hybridMultilevel"/>
    <w:tmpl w:val="5B16C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D97"/>
    <w:rsid w:val="0001276A"/>
    <w:rsid w:val="00045D97"/>
    <w:rsid w:val="00083F21"/>
    <w:rsid w:val="00103B31"/>
    <w:rsid w:val="00142C88"/>
    <w:rsid w:val="002218F6"/>
    <w:rsid w:val="002664F5"/>
    <w:rsid w:val="0028220A"/>
    <w:rsid w:val="00297F9F"/>
    <w:rsid w:val="002B6CCC"/>
    <w:rsid w:val="002E5D56"/>
    <w:rsid w:val="003518AD"/>
    <w:rsid w:val="00394A47"/>
    <w:rsid w:val="003A60BB"/>
    <w:rsid w:val="003B4D09"/>
    <w:rsid w:val="003D52F4"/>
    <w:rsid w:val="00443C21"/>
    <w:rsid w:val="00446ED3"/>
    <w:rsid w:val="004512B3"/>
    <w:rsid w:val="00585EB3"/>
    <w:rsid w:val="005A0EE6"/>
    <w:rsid w:val="00741A87"/>
    <w:rsid w:val="00830481"/>
    <w:rsid w:val="00830D88"/>
    <w:rsid w:val="00903490"/>
    <w:rsid w:val="00907003"/>
    <w:rsid w:val="00933B74"/>
    <w:rsid w:val="00A36A97"/>
    <w:rsid w:val="00A469F8"/>
    <w:rsid w:val="00A627BF"/>
    <w:rsid w:val="00AB00CE"/>
    <w:rsid w:val="00B16B7C"/>
    <w:rsid w:val="00C30FD6"/>
    <w:rsid w:val="00C44426"/>
    <w:rsid w:val="00C94967"/>
    <w:rsid w:val="00CA0DC0"/>
    <w:rsid w:val="00CB5AF7"/>
    <w:rsid w:val="00CE463F"/>
    <w:rsid w:val="00D03733"/>
    <w:rsid w:val="00E443C1"/>
    <w:rsid w:val="00E47111"/>
    <w:rsid w:val="00ED1A3E"/>
    <w:rsid w:val="00F020F1"/>
    <w:rsid w:val="00F67AD2"/>
    <w:rsid w:val="00F7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67A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D88"/>
    <w:rPr>
      <w:color w:val="0000FF" w:themeColor="hyperlink"/>
      <w:u w:val="single"/>
    </w:rPr>
  </w:style>
  <w:style w:type="paragraph" w:styleId="a7">
    <w:name w:val="No Spacing"/>
    <w:uiPriority w:val="1"/>
    <w:qFormat/>
    <w:rsid w:val="00830D88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E47111"/>
    <w:pPr>
      <w:spacing w:after="120"/>
      <w:ind w:right="0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47111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rsid w:val="00E47111"/>
    <w:pPr>
      <w:ind w:right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67A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D88"/>
    <w:rPr>
      <w:color w:val="0000FF" w:themeColor="hyperlink"/>
      <w:u w:val="single"/>
    </w:rPr>
  </w:style>
  <w:style w:type="paragraph" w:styleId="a7">
    <w:name w:val="No Spacing"/>
    <w:uiPriority w:val="1"/>
    <w:qFormat/>
    <w:rsid w:val="00830D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Economist</cp:lastModifiedBy>
  <cp:revision>7</cp:revision>
  <cp:lastPrinted>2021-12-09T11:27:00Z</cp:lastPrinted>
  <dcterms:created xsi:type="dcterms:W3CDTF">2021-12-09T06:42:00Z</dcterms:created>
  <dcterms:modified xsi:type="dcterms:W3CDTF">2021-12-09T13:46:00Z</dcterms:modified>
</cp:coreProperties>
</file>