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E05B1D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8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E05B1D" w:rsidRDefault="00E05B1D" w:rsidP="00E05B1D">
      <w:pPr>
        <w:pStyle w:val="a3"/>
        <w:jc w:val="center"/>
        <w:rPr>
          <w:b/>
          <w:sz w:val="24"/>
          <w:szCs w:val="24"/>
        </w:rPr>
      </w:pPr>
      <w:r w:rsidRPr="00E05B1D">
        <w:rPr>
          <w:b/>
          <w:sz w:val="24"/>
          <w:szCs w:val="24"/>
        </w:rPr>
        <w:t>Борошно, крупа гречана, рис, крупа вівсяна, пшоно, горох колотий, крупа пшенична, крупа кукурудзяна, крупа перлова</w:t>
      </w:r>
    </w:p>
    <w:p w:rsidR="00E05B1D" w:rsidRPr="00E05B1D" w:rsidRDefault="00E05B1D" w:rsidP="00E05B1D">
      <w:pPr>
        <w:pStyle w:val="a3"/>
        <w:jc w:val="center"/>
        <w:rPr>
          <w:b/>
          <w:sz w:val="24"/>
          <w:szCs w:val="24"/>
        </w:rPr>
      </w:pPr>
      <w:r w:rsidRPr="00E05B1D">
        <w:rPr>
          <w:b/>
          <w:sz w:val="24"/>
          <w:szCs w:val="24"/>
        </w:rPr>
        <w:t>ДК 021:2015:  15610000-7 Продукція борошномельно-круп’яної промисловості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 xml:space="preserve">: Відділ освіти, молоді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62203, Україна, Харківська обл., Богодухівський район,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тел./телефакс 057-64-5-06-45,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E05B1D" w:rsidRDefault="00935553" w:rsidP="00E05B1D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984272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E05B1D" w:rsidRPr="00E05B1D">
        <w:rPr>
          <w:sz w:val="24"/>
          <w:szCs w:val="24"/>
        </w:rPr>
        <w:t>Борошно, крупа гречана, рис, крупа вівсяна, пшоно, горох колотий, крупа пшенична, крупа кукурудзяна, крупа перлова</w:t>
      </w:r>
      <w:r w:rsidR="00E05B1D">
        <w:rPr>
          <w:sz w:val="24"/>
          <w:szCs w:val="24"/>
        </w:rPr>
        <w:t>.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="00E05B1D" w:rsidRPr="00E05B1D">
        <w:rPr>
          <w:rFonts w:ascii="Times New Roman" w:hAnsi="Times New Roman"/>
          <w:sz w:val="24"/>
          <w:szCs w:val="24"/>
          <w:lang w:val="uk-UA"/>
        </w:rPr>
        <w:t>Борошно</w:t>
      </w:r>
      <w:r w:rsidR="00E05B1D">
        <w:rPr>
          <w:rFonts w:ascii="Times New Roman" w:hAnsi="Times New Roman"/>
          <w:sz w:val="24"/>
          <w:szCs w:val="24"/>
          <w:lang w:val="uk-UA"/>
        </w:rPr>
        <w:t xml:space="preserve"> -3300</w:t>
      </w:r>
      <w:r w:rsidR="00BE7ECD" w:rsidRPr="00BE7ECD">
        <w:rPr>
          <w:rFonts w:ascii="Times New Roman" w:hAnsi="Times New Roman"/>
          <w:sz w:val="24"/>
          <w:szCs w:val="24"/>
          <w:lang w:val="uk-UA"/>
        </w:rPr>
        <w:t xml:space="preserve"> кілограм</w:t>
      </w:r>
      <w:r w:rsidR="00E05B1D">
        <w:rPr>
          <w:rFonts w:ascii="Times New Roman" w:hAnsi="Times New Roman"/>
          <w:sz w:val="24"/>
          <w:szCs w:val="24"/>
          <w:lang w:val="uk-UA"/>
        </w:rPr>
        <w:t xml:space="preserve">; крупа гречана </w:t>
      </w:r>
      <w:r w:rsidR="00B56189">
        <w:rPr>
          <w:rFonts w:ascii="Times New Roman" w:hAnsi="Times New Roman"/>
          <w:sz w:val="24"/>
          <w:szCs w:val="24"/>
          <w:lang w:val="uk-UA"/>
        </w:rPr>
        <w:t>–</w:t>
      </w:r>
      <w:r w:rsidR="00E05B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6189">
        <w:rPr>
          <w:rFonts w:ascii="Times New Roman" w:hAnsi="Times New Roman"/>
          <w:sz w:val="24"/>
          <w:szCs w:val="24"/>
          <w:lang w:val="uk-UA"/>
        </w:rPr>
        <w:t>1800 кілограм; рис – 2150 кілограм; крупа вівсяна – 200 кілограм; пшоно – 1700 кілограм; горох колотий – 800 кілограм; крупа пшенична – 2000 кілограм; крупа кукурудзяна – 200 кілограм; крупа перлова – 200 кілограм.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B56189" w:rsidRDefault="00B56189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B56189">
        <w:rPr>
          <w:rFonts w:ascii="Times New Roman" w:hAnsi="Times New Roman"/>
          <w:b/>
          <w:sz w:val="24"/>
          <w:szCs w:val="24"/>
        </w:rPr>
        <w:t>Борошно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7DE5">
        <w:rPr>
          <w:rFonts w:ascii="Times New Roman" w:hAnsi="Times New Roman"/>
          <w:color w:val="000000"/>
          <w:sz w:val="24"/>
          <w:szCs w:val="24"/>
        </w:rPr>
        <w:t>Борошно</w:t>
      </w:r>
      <w:proofErr w:type="spellEnd"/>
      <w:r w:rsidRPr="00B57DE5">
        <w:rPr>
          <w:rFonts w:ascii="Times New Roman" w:hAnsi="Times New Roman"/>
          <w:color w:val="000000"/>
          <w:sz w:val="24"/>
          <w:szCs w:val="24"/>
        </w:rPr>
        <w:t xml:space="preserve"> пшеничне</w:t>
      </w:r>
      <w:r w:rsidR="00154036">
        <w:rPr>
          <w:rFonts w:ascii="Times New Roman" w:hAnsi="Times New Roman"/>
          <w:color w:val="000000"/>
          <w:sz w:val="24"/>
          <w:szCs w:val="24"/>
        </w:rPr>
        <w:t xml:space="preserve"> вищого </w:t>
      </w:r>
      <w:r w:rsidR="00154036">
        <w:rPr>
          <w:rFonts w:ascii="Times New Roman" w:hAnsi="Times New Roman"/>
          <w:color w:val="000000"/>
          <w:sz w:val="24"/>
          <w:szCs w:val="24"/>
          <w:u w:val="single"/>
        </w:rPr>
        <w:t>ґ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атунку</w:t>
      </w:r>
      <w:r w:rsidRPr="00B57DE5">
        <w:rPr>
          <w:rFonts w:ascii="Times New Roman" w:hAnsi="Times New Roman"/>
          <w:color w:val="000000"/>
          <w:sz w:val="24"/>
          <w:szCs w:val="24"/>
        </w:rPr>
        <w:t xml:space="preserve">. Смак властивий пшеничному борошну, без сторонніх </w:t>
      </w:r>
      <w:proofErr w:type="spellStart"/>
      <w:r w:rsidRPr="00B57DE5">
        <w:rPr>
          <w:rFonts w:ascii="Times New Roman" w:hAnsi="Times New Roman"/>
          <w:color w:val="000000"/>
          <w:sz w:val="24"/>
          <w:szCs w:val="24"/>
        </w:rPr>
        <w:t>присмаків</w:t>
      </w:r>
      <w:proofErr w:type="spellEnd"/>
      <w:r w:rsidRPr="00B57DE5">
        <w:rPr>
          <w:rFonts w:ascii="Times New Roman" w:hAnsi="Times New Roman"/>
          <w:color w:val="000000"/>
          <w:sz w:val="24"/>
          <w:szCs w:val="24"/>
        </w:rPr>
        <w:t>, не кислий, не гіркий. Запах властивий пшеничному борошну, без сторонніх запахів, не затхлий, не плісняви</w:t>
      </w:r>
      <w:r w:rsidRPr="009024DE">
        <w:rPr>
          <w:rFonts w:ascii="Times New Roman" w:hAnsi="Times New Roman"/>
          <w:color w:val="000000"/>
          <w:sz w:val="24"/>
          <w:szCs w:val="24"/>
        </w:rPr>
        <w:t xml:space="preserve">й. не допускається зараженість і забрудненість шкідниками. </w:t>
      </w:r>
      <w:r w:rsidRPr="009024DE">
        <w:rPr>
          <w:rFonts w:ascii="Times New Roman" w:hAnsi="Times New Roman"/>
          <w:bCs/>
          <w:sz w:val="24"/>
          <w:szCs w:val="24"/>
        </w:rPr>
        <w:t xml:space="preserve">Фасування борошна </w:t>
      </w:r>
      <w:r w:rsidRPr="009024DE">
        <w:rPr>
          <w:rFonts w:ascii="Times New Roman" w:hAnsi="Times New Roman"/>
          <w:sz w:val="24"/>
          <w:szCs w:val="24"/>
        </w:rPr>
        <w:t xml:space="preserve"> фасована від </w:t>
      </w:r>
      <w:r>
        <w:rPr>
          <w:rFonts w:ascii="Times New Roman" w:hAnsi="Times New Roman"/>
          <w:sz w:val="24"/>
          <w:szCs w:val="24"/>
        </w:rPr>
        <w:t xml:space="preserve">0,7 </w:t>
      </w:r>
      <w:r w:rsidRPr="009024DE">
        <w:rPr>
          <w:rFonts w:ascii="Times New Roman" w:hAnsi="Times New Roman"/>
          <w:sz w:val="24"/>
          <w:szCs w:val="24"/>
        </w:rPr>
        <w:t>до 50,0 кг . Товар відповідає умовам ГОСТ, ДСТУ 46.004-99 або ТУ, ГСТУ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>46.004-99.</w:t>
      </w:r>
    </w:p>
    <w:p w:rsidR="00B56189" w:rsidRDefault="00B56189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B56189">
        <w:rPr>
          <w:rFonts w:ascii="Times New Roman" w:hAnsi="Times New Roman"/>
          <w:b/>
          <w:sz w:val="24"/>
          <w:szCs w:val="24"/>
        </w:rPr>
        <w:t>Крупа гречана: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>Розсипчаста маса, характерна для відповідного виду круп. Смак і запах притаманні для цього виду круп без стороннього присмаку та запаху  і ознак затхлості та плісняви. Транспортування</w:t>
      </w:r>
      <w:r w:rsidRPr="009024DE">
        <w:rPr>
          <w:rFonts w:ascii="Times New Roman" w:hAnsi="Times New Roman"/>
          <w:i/>
          <w:sz w:val="24"/>
          <w:szCs w:val="24"/>
        </w:rPr>
        <w:t xml:space="preserve"> – </w:t>
      </w:r>
      <w:r w:rsidRPr="009024DE">
        <w:rPr>
          <w:rFonts w:ascii="Times New Roman" w:hAnsi="Times New Roman"/>
          <w:sz w:val="24"/>
          <w:szCs w:val="24"/>
        </w:rPr>
        <w:t>в транспортних засобах, згідно з</w:t>
      </w:r>
      <w:r w:rsidRPr="009024DE">
        <w:rPr>
          <w:rFonts w:ascii="Times New Roman" w:hAnsi="Times New Roman"/>
          <w:i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 xml:space="preserve">правилами перевезень </w:t>
      </w:r>
      <w:r w:rsidRPr="009024DE">
        <w:rPr>
          <w:rFonts w:ascii="Times New Roman" w:hAnsi="Times New Roman"/>
          <w:sz w:val="24"/>
          <w:szCs w:val="24"/>
        </w:rPr>
        <w:lastRenderedPageBreak/>
        <w:t xml:space="preserve">продуктів харчування. </w:t>
      </w:r>
      <w:r w:rsidRPr="009024DE">
        <w:rPr>
          <w:rFonts w:ascii="Times New Roman" w:hAnsi="Times New Roman"/>
          <w:bCs/>
          <w:sz w:val="24"/>
          <w:szCs w:val="24"/>
        </w:rPr>
        <w:t xml:space="preserve">Крупа гречана </w:t>
      </w:r>
      <w:r w:rsidRPr="009024DE">
        <w:rPr>
          <w:rFonts w:ascii="Times New Roman" w:hAnsi="Times New Roman"/>
          <w:sz w:val="24"/>
          <w:szCs w:val="24"/>
        </w:rPr>
        <w:t xml:space="preserve">  фасована від </w:t>
      </w:r>
      <w:r>
        <w:rPr>
          <w:rFonts w:ascii="Times New Roman" w:hAnsi="Times New Roman"/>
          <w:sz w:val="24"/>
          <w:szCs w:val="24"/>
        </w:rPr>
        <w:t>0,7</w:t>
      </w:r>
      <w:r w:rsidRPr="009024DE">
        <w:rPr>
          <w:rFonts w:ascii="Times New Roman" w:hAnsi="Times New Roman"/>
          <w:sz w:val="24"/>
          <w:szCs w:val="24"/>
        </w:rPr>
        <w:t xml:space="preserve"> до 50,0 кг. Товар відповідає умовам ГОСТ, ДСТУ 7697:2015 або ТУ.</w:t>
      </w:r>
    </w:p>
    <w:p w:rsidR="00B56189" w:rsidRDefault="00B56189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B56189">
        <w:rPr>
          <w:rFonts w:ascii="Times New Roman" w:hAnsi="Times New Roman"/>
          <w:b/>
          <w:sz w:val="24"/>
          <w:szCs w:val="24"/>
        </w:rPr>
        <w:t>Рис: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134">
        <w:rPr>
          <w:rFonts w:ascii="Times New Roman" w:hAnsi="Times New Roman"/>
          <w:sz w:val="24"/>
          <w:szCs w:val="24"/>
        </w:rPr>
        <w:t>Розсипчаста маса, характерна для відповідного виду круп. Смак і запах притаманні для цього виду круп без стороннього присмаку та запаху  і ознак затхлості та плісняви. Транспортування</w:t>
      </w:r>
      <w:r w:rsidRPr="005E5134">
        <w:rPr>
          <w:rFonts w:ascii="Times New Roman" w:hAnsi="Times New Roman"/>
          <w:i/>
          <w:sz w:val="24"/>
          <w:szCs w:val="24"/>
        </w:rPr>
        <w:t xml:space="preserve"> – </w:t>
      </w:r>
      <w:r w:rsidRPr="005E5134">
        <w:rPr>
          <w:rFonts w:ascii="Times New Roman" w:hAnsi="Times New Roman"/>
          <w:sz w:val="24"/>
          <w:szCs w:val="24"/>
        </w:rPr>
        <w:t xml:space="preserve">в транспортних </w:t>
      </w:r>
      <w:r w:rsidRPr="009024DE">
        <w:rPr>
          <w:rFonts w:ascii="Times New Roman" w:hAnsi="Times New Roman"/>
          <w:sz w:val="24"/>
          <w:szCs w:val="24"/>
        </w:rPr>
        <w:t>засобах, згідно з</w:t>
      </w:r>
      <w:r w:rsidRPr="009024DE">
        <w:rPr>
          <w:rFonts w:ascii="Times New Roman" w:hAnsi="Times New Roman"/>
          <w:i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 xml:space="preserve">правилами перевезень продуктів харчування. </w:t>
      </w:r>
      <w:r w:rsidRPr="009024DE">
        <w:rPr>
          <w:rFonts w:ascii="Times New Roman" w:hAnsi="Times New Roman"/>
          <w:bCs/>
          <w:sz w:val="24"/>
          <w:szCs w:val="24"/>
        </w:rPr>
        <w:t xml:space="preserve">Облущений рис </w:t>
      </w:r>
      <w:r w:rsidRPr="009024DE">
        <w:rPr>
          <w:rFonts w:ascii="Times New Roman" w:hAnsi="Times New Roman"/>
          <w:sz w:val="24"/>
          <w:szCs w:val="24"/>
        </w:rPr>
        <w:t xml:space="preserve">  фасована від </w:t>
      </w:r>
      <w:r>
        <w:rPr>
          <w:rFonts w:ascii="Times New Roman" w:hAnsi="Times New Roman"/>
          <w:sz w:val="24"/>
          <w:szCs w:val="24"/>
        </w:rPr>
        <w:t>0,7</w:t>
      </w:r>
      <w:r w:rsidRPr="009024DE">
        <w:rPr>
          <w:rFonts w:ascii="Times New Roman" w:hAnsi="Times New Roman"/>
          <w:sz w:val="24"/>
          <w:szCs w:val="24"/>
        </w:rPr>
        <w:t xml:space="preserve"> до 50,0 кг. Товар відповідає умовам ГОСТ 6292, ДСТУ 4965:2008 або ТУ</w:t>
      </w:r>
    </w:p>
    <w:p w:rsidR="00B56189" w:rsidRDefault="00B56189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B56189">
        <w:rPr>
          <w:rFonts w:ascii="Times New Roman" w:hAnsi="Times New Roman"/>
          <w:b/>
          <w:sz w:val="24"/>
          <w:szCs w:val="24"/>
        </w:rPr>
        <w:t>Крупа вівсяна: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134">
        <w:rPr>
          <w:rFonts w:ascii="Times New Roman" w:hAnsi="Times New Roman"/>
          <w:sz w:val="24"/>
          <w:szCs w:val="24"/>
        </w:rPr>
        <w:t>Розсипчаста маса, характерна для відповідного виду круп. Смак і запах притаманні для цього виду круп без стороннього присмаку та запаху  і ознак затхлості та плісняви. Транспортування</w:t>
      </w:r>
      <w:r w:rsidRPr="005E5134">
        <w:rPr>
          <w:rFonts w:ascii="Times New Roman" w:hAnsi="Times New Roman"/>
          <w:i/>
          <w:sz w:val="24"/>
          <w:szCs w:val="24"/>
        </w:rPr>
        <w:t xml:space="preserve"> – </w:t>
      </w:r>
      <w:r w:rsidRPr="005E5134">
        <w:rPr>
          <w:rFonts w:ascii="Times New Roman" w:hAnsi="Times New Roman"/>
          <w:sz w:val="24"/>
          <w:szCs w:val="24"/>
        </w:rPr>
        <w:t xml:space="preserve">в транспортних </w:t>
      </w:r>
      <w:r w:rsidRPr="009024DE">
        <w:rPr>
          <w:rFonts w:ascii="Times New Roman" w:hAnsi="Times New Roman"/>
          <w:sz w:val="24"/>
          <w:szCs w:val="24"/>
        </w:rPr>
        <w:t>засобах, згідно з</w:t>
      </w:r>
      <w:r w:rsidRPr="009024DE">
        <w:rPr>
          <w:rFonts w:ascii="Times New Roman" w:hAnsi="Times New Roman"/>
          <w:i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 xml:space="preserve">правилами перевезень продуктів харчування. </w:t>
      </w:r>
      <w:r>
        <w:rPr>
          <w:rFonts w:ascii="Times New Roman" w:hAnsi="Times New Roman"/>
          <w:bCs/>
          <w:sz w:val="24"/>
          <w:szCs w:val="24"/>
        </w:rPr>
        <w:t>Вівсяна крупа</w:t>
      </w:r>
      <w:r w:rsidRPr="009024DE">
        <w:rPr>
          <w:rFonts w:ascii="Times New Roman" w:hAnsi="Times New Roman"/>
          <w:bCs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 xml:space="preserve">  фасована від </w:t>
      </w:r>
      <w:r>
        <w:rPr>
          <w:rFonts w:ascii="Times New Roman" w:hAnsi="Times New Roman"/>
          <w:sz w:val="24"/>
          <w:szCs w:val="24"/>
        </w:rPr>
        <w:t>0,7</w:t>
      </w:r>
      <w:r w:rsidRPr="009024DE">
        <w:rPr>
          <w:rFonts w:ascii="Times New Roman" w:hAnsi="Times New Roman"/>
          <w:sz w:val="24"/>
          <w:szCs w:val="24"/>
        </w:rPr>
        <w:t xml:space="preserve"> до 50,0 кг. Товар відповідає умов</w:t>
      </w:r>
      <w:r w:rsidRPr="00226819">
        <w:rPr>
          <w:rFonts w:ascii="Times New Roman" w:hAnsi="Times New Roman"/>
          <w:sz w:val="24"/>
          <w:szCs w:val="24"/>
        </w:rPr>
        <w:t>ам ГОСТ, ДСТУ або ТУ.</w:t>
      </w:r>
    </w:p>
    <w:p w:rsidR="00B56189" w:rsidRDefault="00B56189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B56189">
        <w:rPr>
          <w:rFonts w:ascii="Times New Roman" w:hAnsi="Times New Roman"/>
          <w:b/>
          <w:sz w:val="24"/>
          <w:szCs w:val="24"/>
        </w:rPr>
        <w:t>Пшоно: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134">
        <w:rPr>
          <w:rFonts w:ascii="Times New Roman" w:hAnsi="Times New Roman"/>
          <w:sz w:val="24"/>
          <w:szCs w:val="24"/>
        </w:rPr>
        <w:t>Розсипчаста маса, характерна для відповідного виду круп. Смак і запах притаманні для цього виду круп без стороннього присмаку та запаху  і ознак затхлості та плісняви. Транспортування</w:t>
      </w:r>
      <w:r w:rsidRPr="005E5134">
        <w:rPr>
          <w:rFonts w:ascii="Times New Roman" w:hAnsi="Times New Roman"/>
          <w:i/>
          <w:sz w:val="24"/>
          <w:szCs w:val="24"/>
        </w:rPr>
        <w:t xml:space="preserve"> – </w:t>
      </w:r>
      <w:r w:rsidRPr="005E5134">
        <w:rPr>
          <w:rFonts w:ascii="Times New Roman" w:hAnsi="Times New Roman"/>
          <w:sz w:val="24"/>
          <w:szCs w:val="24"/>
        </w:rPr>
        <w:t>в транспортних засобах, згідно з</w:t>
      </w:r>
      <w:r w:rsidRPr="005E5134">
        <w:rPr>
          <w:rFonts w:ascii="Times New Roman" w:hAnsi="Times New Roman"/>
          <w:i/>
          <w:sz w:val="24"/>
          <w:szCs w:val="24"/>
        </w:rPr>
        <w:t xml:space="preserve"> </w:t>
      </w:r>
      <w:r w:rsidRPr="005E5134">
        <w:rPr>
          <w:rFonts w:ascii="Times New Roman" w:hAnsi="Times New Roman"/>
          <w:sz w:val="24"/>
          <w:szCs w:val="24"/>
        </w:rPr>
        <w:t>правилами перевезень продуктів харчува</w:t>
      </w:r>
      <w:r w:rsidRPr="009024DE">
        <w:rPr>
          <w:rFonts w:ascii="Times New Roman" w:hAnsi="Times New Roman"/>
          <w:sz w:val="24"/>
          <w:szCs w:val="24"/>
        </w:rPr>
        <w:t xml:space="preserve">ння. </w:t>
      </w:r>
      <w:r w:rsidRPr="009024DE">
        <w:rPr>
          <w:rFonts w:ascii="Times New Roman" w:hAnsi="Times New Roman"/>
          <w:bCs/>
          <w:sz w:val="24"/>
          <w:szCs w:val="24"/>
        </w:rPr>
        <w:t>Пшоно</w:t>
      </w:r>
      <w:r w:rsidRPr="009024DE">
        <w:rPr>
          <w:rFonts w:ascii="Times New Roman" w:hAnsi="Times New Roman"/>
          <w:sz w:val="24"/>
          <w:szCs w:val="24"/>
        </w:rPr>
        <w:t xml:space="preserve"> від  фасована від </w:t>
      </w:r>
      <w:r>
        <w:rPr>
          <w:rFonts w:ascii="Times New Roman" w:hAnsi="Times New Roman"/>
          <w:sz w:val="24"/>
          <w:szCs w:val="24"/>
        </w:rPr>
        <w:t>0,7</w:t>
      </w:r>
      <w:r w:rsidRPr="009024DE">
        <w:rPr>
          <w:rFonts w:ascii="Times New Roman" w:hAnsi="Times New Roman"/>
          <w:sz w:val="24"/>
          <w:szCs w:val="24"/>
        </w:rPr>
        <w:t xml:space="preserve"> до 50,0 кг. Товар відповідає умовам ГОСТ 572, ДСТУ або ТУ.</w:t>
      </w:r>
    </w:p>
    <w:p w:rsidR="00B56189" w:rsidRDefault="00B56189" w:rsidP="002138DE">
      <w:pPr>
        <w:pStyle w:val="21"/>
        <w:jc w:val="both"/>
        <w:rPr>
          <w:rFonts w:ascii="Times New Roman" w:hAnsi="Times New Roman"/>
          <w:color w:val="000000"/>
          <w:sz w:val="24"/>
          <w:szCs w:val="24"/>
        </w:rPr>
      </w:pPr>
      <w:r w:rsidRPr="00B56189">
        <w:rPr>
          <w:rFonts w:ascii="Times New Roman" w:hAnsi="Times New Roman"/>
          <w:b/>
          <w:sz w:val="24"/>
          <w:szCs w:val="24"/>
        </w:rPr>
        <w:t>Горох колотий: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0251E3">
        <w:rPr>
          <w:rFonts w:ascii="Times New Roman" w:hAnsi="Times New Roman"/>
          <w:color w:val="000000"/>
          <w:sz w:val="24"/>
          <w:szCs w:val="24"/>
        </w:rPr>
        <w:t xml:space="preserve">орох колотий з розділеними сім'ядолями. По органолептичним показникам повинен відповідати таким вимогам: колір – жовтий, жовто-зелений, смак – нормальний, властивий гороху, без сторонніх </w:t>
      </w:r>
      <w:proofErr w:type="spellStart"/>
      <w:r w:rsidRPr="000251E3">
        <w:rPr>
          <w:rFonts w:ascii="Times New Roman" w:hAnsi="Times New Roman"/>
          <w:color w:val="000000"/>
          <w:sz w:val="24"/>
          <w:szCs w:val="24"/>
        </w:rPr>
        <w:t>присмаків</w:t>
      </w:r>
      <w:proofErr w:type="spellEnd"/>
      <w:r w:rsidRPr="000251E3">
        <w:rPr>
          <w:rFonts w:ascii="Times New Roman" w:hAnsi="Times New Roman"/>
          <w:color w:val="000000"/>
          <w:sz w:val="24"/>
          <w:szCs w:val="24"/>
        </w:rPr>
        <w:t>, не кислий, не гіркий, запах – нормальний, притаманний гороху, без затхлого, пліснявого чи іншого стороннього запаху.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5927">
        <w:rPr>
          <w:rFonts w:ascii="Times New Roman" w:hAnsi="Times New Roman"/>
          <w:color w:val="000000"/>
          <w:sz w:val="24"/>
          <w:szCs w:val="24"/>
        </w:rPr>
        <w:t xml:space="preserve">Фасування – </w:t>
      </w:r>
      <w:r>
        <w:rPr>
          <w:rFonts w:ascii="Times New Roman" w:hAnsi="Times New Roman"/>
          <w:color w:val="000000"/>
          <w:sz w:val="24"/>
          <w:szCs w:val="24"/>
        </w:rPr>
        <w:t>від 0,7 до 50</w:t>
      </w:r>
      <w:r w:rsidRPr="00F65927">
        <w:rPr>
          <w:rFonts w:ascii="Times New Roman" w:hAnsi="Times New Roman"/>
          <w:color w:val="000000"/>
          <w:sz w:val="24"/>
          <w:szCs w:val="24"/>
        </w:rPr>
        <w:t xml:space="preserve"> кг. Відповідає ДСТУ 7701:2015.</w:t>
      </w:r>
    </w:p>
    <w:p w:rsidR="005071A4" w:rsidRDefault="005071A4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5071A4">
        <w:rPr>
          <w:rFonts w:ascii="Times New Roman" w:hAnsi="Times New Roman"/>
          <w:b/>
          <w:sz w:val="24"/>
          <w:szCs w:val="24"/>
        </w:rPr>
        <w:t>Крупа пшенична: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>Розсипчаста маса, характерна для відповідного виду круп. Смак і запах притаманні для цього виду круп без стороннього присмаку та запаху і ознак затхлості та плісняви. Транспортування</w:t>
      </w:r>
      <w:r w:rsidRPr="009024DE">
        <w:rPr>
          <w:rFonts w:ascii="Times New Roman" w:hAnsi="Times New Roman"/>
          <w:i/>
          <w:sz w:val="24"/>
          <w:szCs w:val="24"/>
        </w:rPr>
        <w:t xml:space="preserve"> – </w:t>
      </w:r>
      <w:r w:rsidRPr="009024DE">
        <w:rPr>
          <w:rFonts w:ascii="Times New Roman" w:hAnsi="Times New Roman"/>
          <w:sz w:val="24"/>
          <w:szCs w:val="24"/>
        </w:rPr>
        <w:t>в транспортних засобах, згідно з</w:t>
      </w:r>
      <w:r w:rsidRPr="009024DE">
        <w:rPr>
          <w:rFonts w:ascii="Times New Roman" w:hAnsi="Times New Roman"/>
          <w:i/>
          <w:sz w:val="24"/>
          <w:szCs w:val="24"/>
        </w:rPr>
        <w:t xml:space="preserve"> </w:t>
      </w:r>
      <w:r w:rsidRPr="009024DE">
        <w:rPr>
          <w:rFonts w:ascii="Times New Roman" w:hAnsi="Times New Roman"/>
          <w:sz w:val="24"/>
          <w:szCs w:val="24"/>
        </w:rPr>
        <w:t xml:space="preserve">правилами перевезень продуктів харчування. </w:t>
      </w:r>
      <w:r w:rsidRPr="009024DE">
        <w:rPr>
          <w:rFonts w:ascii="Times New Roman" w:hAnsi="Times New Roman"/>
          <w:bCs/>
          <w:sz w:val="24"/>
          <w:szCs w:val="24"/>
        </w:rPr>
        <w:t xml:space="preserve">Крупа пшенична </w:t>
      </w:r>
      <w:r w:rsidRPr="009024DE">
        <w:rPr>
          <w:rFonts w:ascii="Times New Roman" w:hAnsi="Times New Roman"/>
          <w:sz w:val="24"/>
          <w:szCs w:val="24"/>
        </w:rPr>
        <w:t xml:space="preserve"> фасована від </w:t>
      </w:r>
      <w:r>
        <w:rPr>
          <w:rFonts w:ascii="Times New Roman" w:hAnsi="Times New Roman"/>
          <w:sz w:val="24"/>
          <w:szCs w:val="24"/>
        </w:rPr>
        <w:t>0,7</w:t>
      </w:r>
      <w:r w:rsidRPr="009024DE">
        <w:rPr>
          <w:rFonts w:ascii="Times New Roman" w:hAnsi="Times New Roman"/>
          <w:sz w:val="24"/>
          <w:szCs w:val="24"/>
        </w:rPr>
        <w:t xml:space="preserve"> до 50,0 кг. Товар відповідає умовам ГОСТ, ДСТУ 7699:2015 або ТУ.</w:t>
      </w:r>
    </w:p>
    <w:p w:rsidR="005071A4" w:rsidRPr="00F84918" w:rsidRDefault="005071A4" w:rsidP="005071A4">
      <w:pPr>
        <w:framePr w:hSpace="181" w:wrap="notBeside" w:vAnchor="text" w:hAnchor="margin" w:y="194"/>
        <w:tabs>
          <w:tab w:val="left" w:pos="6150"/>
          <w:tab w:val="left" w:pos="6372"/>
          <w:tab w:val="left" w:pos="7080"/>
          <w:tab w:val="left" w:pos="7788"/>
          <w:tab w:val="left" w:pos="8496"/>
          <w:tab w:val="right" w:pos="9615"/>
        </w:tabs>
        <w:jc w:val="both"/>
        <w:rPr>
          <w:color w:val="000000"/>
          <w:sz w:val="24"/>
          <w:szCs w:val="24"/>
        </w:rPr>
      </w:pPr>
      <w:r w:rsidRPr="005071A4">
        <w:rPr>
          <w:b/>
          <w:sz w:val="24"/>
          <w:szCs w:val="24"/>
        </w:rPr>
        <w:t>Крупа кукурудзяна</w:t>
      </w:r>
      <w:r>
        <w:rPr>
          <w:b/>
          <w:sz w:val="24"/>
          <w:szCs w:val="24"/>
        </w:rPr>
        <w:t xml:space="preserve">: </w:t>
      </w:r>
      <w:r w:rsidRPr="004B0947">
        <w:rPr>
          <w:color w:val="000000"/>
          <w:sz w:val="24"/>
          <w:szCs w:val="24"/>
        </w:rPr>
        <w:t>Крупа сипуча, чиста без різних домішок, без затхлого, пліснявого і інших запахів.</w:t>
      </w:r>
      <w:r>
        <w:rPr>
          <w:color w:val="000000"/>
          <w:sz w:val="24"/>
          <w:szCs w:val="24"/>
        </w:rPr>
        <w:t xml:space="preserve"> </w:t>
      </w:r>
      <w:r w:rsidRPr="009024DE">
        <w:rPr>
          <w:sz w:val="24"/>
          <w:szCs w:val="24"/>
        </w:rPr>
        <w:t>Транспортування</w:t>
      </w:r>
      <w:r w:rsidRPr="009024DE">
        <w:rPr>
          <w:i/>
          <w:sz w:val="24"/>
          <w:szCs w:val="24"/>
        </w:rPr>
        <w:t xml:space="preserve"> – </w:t>
      </w:r>
      <w:r w:rsidRPr="009024DE">
        <w:rPr>
          <w:sz w:val="24"/>
          <w:szCs w:val="24"/>
        </w:rPr>
        <w:t>в транспортних засобах, згідно з</w:t>
      </w:r>
      <w:r w:rsidRPr="009024DE">
        <w:rPr>
          <w:i/>
          <w:sz w:val="24"/>
          <w:szCs w:val="24"/>
        </w:rPr>
        <w:t xml:space="preserve"> </w:t>
      </w:r>
      <w:r w:rsidRPr="009024DE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>перевезень продуктів харчування. Товар відповідає умовам ГОСТ, ДСТУ або ТУ.</w:t>
      </w:r>
    </w:p>
    <w:p w:rsidR="005071A4" w:rsidRDefault="005071A4" w:rsidP="005071A4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Крупа</w:t>
      </w:r>
      <w:r w:rsidRPr="009024DE">
        <w:rPr>
          <w:rFonts w:ascii="Times New Roman" w:hAnsi="Times New Roman"/>
          <w:sz w:val="24"/>
          <w:szCs w:val="24"/>
        </w:rPr>
        <w:t xml:space="preserve"> фасована від </w:t>
      </w:r>
      <w:r>
        <w:rPr>
          <w:rFonts w:ascii="Times New Roman" w:hAnsi="Times New Roman"/>
          <w:sz w:val="24"/>
          <w:szCs w:val="24"/>
        </w:rPr>
        <w:t>0,7</w:t>
      </w:r>
      <w:r w:rsidRPr="009024DE">
        <w:rPr>
          <w:rFonts w:ascii="Times New Roman" w:hAnsi="Times New Roman"/>
          <w:sz w:val="24"/>
          <w:szCs w:val="24"/>
        </w:rPr>
        <w:t xml:space="preserve"> до 50,0 кг</w:t>
      </w:r>
    </w:p>
    <w:p w:rsidR="005071A4" w:rsidRPr="004B0947" w:rsidRDefault="005071A4" w:rsidP="005071A4">
      <w:pPr>
        <w:framePr w:hSpace="180" w:wrap="around" w:vAnchor="text" w:hAnchor="margin" w:y="195"/>
        <w:tabs>
          <w:tab w:val="left" w:pos="6150"/>
          <w:tab w:val="left" w:pos="6372"/>
          <w:tab w:val="left" w:pos="7080"/>
          <w:tab w:val="left" w:pos="7788"/>
          <w:tab w:val="left" w:pos="8496"/>
          <w:tab w:val="right" w:pos="9615"/>
        </w:tabs>
        <w:jc w:val="both"/>
        <w:rPr>
          <w:color w:val="000000"/>
          <w:sz w:val="24"/>
          <w:szCs w:val="24"/>
        </w:rPr>
      </w:pPr>
      <w:r w:rsidRPr="005071A4">
        <w:rPr>
          <w:b/>
          <w:sz w:val="24"/>
          <w:szCs w:val="24"/>
        </w:rPr>
        <w:t>Крупа перлова</w:t>
      </w:r>
      <w:r>
        <w:rPr>
          <w:sz w:val="24"/>
          <w:szCs w:val="24"/>
        </w:rPr>
        <w:t xml:space="preserve">: </w:t>
      </w:r>
      <w:r w:rsidRPr="004B0947">
        <w:rPr>
          <w:color w:val="000000"/>
          <w:sz w:val="24"/>
          <w:szCs w:val="24"/>
        </w:rPr>
        <w:t>Крупа сипуча, чиста без різних домішок, без затхлого, пліснявого і інших запахів.</w:t>
      </w:r>
      <w:r w:rsidRPr="009024DE">
        <w:rPr>
          <w:sz w:val="24"/>
          <w:szCs w:val="24"/>
        </w:rPr>
        <w:t xml:space="preserve"> Транспортування</w:t>
      </w:r>
      <w:r w:rsidRPr="009024DE">
        <w:rPr>
          <w:i/>
          <w:sz w:val="24"/>
          <w:szCs w:val="24"/>
        </w:rPr>
        <w:t xml:space="preserve"> – </w:t>
      </w:r>
      <w:r w:rsidRPr="009024DE">
        <w:rPr>
          <w:sz w:val="24"/>
          <w:szCs w:val="24"/>
        </w:rPr>
        <w:t>в транспортних засобах, згідно з</w:t>
      </w:r>
      <w:r w:rsidRPr="009024DE">
        <w:rPr>
          <w:i/>
          <w:sz w:val="24"/>
          <w:szCs w:val="24"/>
        </w:rPr>
        <w:t xml:space="preserve"> </w:t>
      </w:r>
      <w:r w:rsidRPr="009024DE">
        <w:rPr>
          <w:sz w:val="24"/>
          <w:szCs w:val="24"/>
        </w:rPr>
        <w:t>правилами перевезень продуктів харчування.</w:t>
      </w:r>
      <w:r>
        <w:rPr>
          <w:sz w:val="24"/>
          <w:szCs w:val="24"/>
        </w:rPr>
        <w:t xml:space="preserve"> Товар відповідає умовам ГОСТ, ДСТУ або ТУ.</w:t>
      </w:r>
    </w:p>
    <w:p w:rsidR="005071A4" w:rsidRPr="005071A4" w:rsidRDefault="005071A4" w:rsidP="005071A4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Крупа</w:t>
      </w:r>
      <w:r w:rsidRPr="009024DE">
        <w:rPr>
          <w:rFonts w:ascii="Times New Roman" w:hAnsi="Times New Roman"/>
          <w:sz w:val="24"/>
          <w:szCs w:val="24"/>
        </w:rPr>
        <w:t xml:space="preserve"> фасована від </w:t>
      </w:r>
      <w:r>
        <w:rPr>
          <w:rFonts w:ascii="Times New Roman" w:hAnsi="Times New Roman"/>
          <w:sz w:val="24"/>
          <w:szCs w:val="24"/>
        </w:rPr>
        <w:t>0,7</w:t>
      </w:r>
      <w:r w:rsidRPr="009024DE">
        <w:rPr>
          <w:rFonts w:ascii="Times New Roman" w:hAnsi="Times New Roman"/>
          <w:sz w:val="24"/>
          <w:szCs w:val="24"/>
        </w:rPr>
        <w:t xml:space="preserve"> до 50,0 кг.</w:t>
      </w: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5071A4">
        <w:rPr>
          <w:rFonts w:ascii="Times New Roman" w:hAnsi="Times New Roman"/>
          <w:sz w:val="24"/>
          <w:szCs w:val="24"/>
        </w:rPr>
        <w:t>– 357500</w:t>
      </w:r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54036"/>
    <w:rsid w:val="0019183D"/>
    <w:rsid w:val="002138DE"/>
    <w:rsid w:val="0025659D"/>
    <w:rsid w:val="003B50DA"/>
    <w:rsid w:val="005071A4"/>
    <w:rsid w:val="00677480"/>
    <w:rsid w:val="006C0FCB"/>
    <w:rsid w:val="006D0403"/>
    <w:rsid w:val="0092163E"/>
    <w:rsid w:val="00935553"/>
    <w:rsid w:val="00984272"/>
    <w:rsid w:val="00B56189"/>
    <w:rsid w:val="00BE7ECD"/>
    <w:rsid w:val="00CC2D23"/>
    <w:rsid w:val="00D2537A"/>
    <w:rsid w:val="00DF2C06"/>
    <w:rsid w:val="00E05B1D"/>
    <w:rsid w:val="00E63384"/>
    <w:rsid w:val="00EC4BC0"/>
    <w:rsid w:val="00F46BC3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2022-02-08T11:56:00Z</dcterms:created>
  <dcterms:modified xsi:type="dcterms:W3CDTF">2022-02-09T06:37:00Z</dcterms:modified>
</cp:coreProperties>
</file>