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DA5FED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9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904E18" w:rsidRPr="00DA5FED" w:rsidRDefault="00904E18" w:rsidP="00DA5FED">
      <w:pPr>
        <w:pStyle w:val="a3"/>
        <w:jc w:val="center"/>
        <w:rPr>
          <w:b/>
          <w:sz w:val="24"/>
          <w:szCs w:val="24"/>
        </w:rPr>
      </w:pPr>
      <w:r w:rsidRPr="00DA5FED">
        <w:rPr>
          <w:b/>
          <w:sz w:val="24"/>
          <w:szCs w:val="24"/>
        </w:rPr>
        <w:t>Філе куряче охолоджене, свинина охолоджена</w:t>
      </w:r>
    </w:p>
    <w:p w:rsidR="00904E18" w:rsidRPr="00DA5FED" w:rsidRDefault="00DA5FED" w:rsidP="00DA5FED">
      <w:pPr>
        <w:pStyle w:val="a3"/>
        <w:jc w:val="center"/>
        <w:rPr>
          <w:b/>
          <w:sz w:val="24"/>
          <w:szCs w:val="24"/>
        </w:rPr>
      </w:pPr>
      <w:r w:rsidRPr="00DA5FED">
        <w:rPr>
          <w:b/>
          <w:sz w:val="24"/>
          <w:szCs w:val="24"/>
        </w:rPr>
        <w:t>ДК 021:2015 : 15110000-2  М’ясо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>: Відділ освіти,</w:t>
      </w:r>
      <w:r>
        <w:rPr>
          <w:spacing w:val="-9"/>
          <w:sz w:val="24"/>
          <w:szCs w:val="24"/>
        </w:rPr>
        <w:t xml:space="preserve"> молоді</w:t>
      </w:r>
      <w:r>
        <w:rPr>
          <w:spacing w:val="-9"/>
          <w:sz w:val="24"/>
          <w:szCs w:val="24"/>
        </w:rPr>
        <w:t xml:space="preserve">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</w:t>
      </w:r>
      <w:r>
        <w:rPr>
          <w:spacing w:val="-9"/>
          <w:sz w:val="24"/>
          <w:szCs w:val="24"/>
        </w:rPr>
        <w:t xml:space="preserve">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>62203, Україна, Харківська обл., Богодухівський район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</w:t>
      </w:r>
      <w:r>
        <w:rPr>
          <w:sz w:val="24"/>
          <w:szCs w:val="24"/>
        </w:rPr>
        <w:t xml:space="preserve">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тел./телефакс 057-64-5-06-45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DA5FED" w:rsidRDefault="00935553" w:rsidP="00DA5FE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984272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DA5FED" w:rsidRPr="00DA5FED">
        <w:rPr>
          <w:sz w:val="24"/>
          <w:szCs w:val="24"/>
        </w:rPr>
        <w:t>Філе куряче охолоджене, свинина охолоджена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DA5FED">
        <w:rPr>
          <w:rFonts w:ascii="Times New Roman" w:hAnsi="Times New Roman"/>
          <w:sz w:val="24"/>
          <w:szCs w:val="24"/>
          <w:lang w:val="uk-UA"/>
        </w:rPr>
        <w:t xml:space="preserve"> Філе куряче охолоджене – 8280 кілограм; свинина охолоджена – 750 кілограм.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DA5FED" w:rsidRDefault="00DA5FED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DA5FED">
        <w:rPr>
          <w:rFonts w:ascii="Times New Roman" w:hAnsi="Times New Roman"/>
          <w:b/>
          <w:sz w:val="24"/>
          <w:szCs w:val="24"/>
        </w:rPr>
        <w:t>Філе куряче охолоджене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61A8E">
        <w:rPr>
          <w:rFonts w:ascii="Times New Roman" w:hAnsi="Times New Roman"/>
          <w:sz w:val="24"/>
        </w:rPr>
        <w:t xml:space="preserve">Філе куряче охолоджене – одержують відокремленням грудних м’язів від грудини. </w:t>
      </w:r>
      <w:r w:rsidRPr="00A361FE">
        <w:rPr>
          <w:rFonts w:ascii="Times New Roman" w:hAnsi="Times New Roman"/>
          <w:sz w:val="24"/>
        </w:rPr>
        <w:t xml:space="preserve">Ребра з прилеглим реберним м’ясом видаляють. Складається з м’язової тканини цілої/половини грудини без шкіри. Зовнішній вигляд: свіжість філе курячого визначає поверхня біло-рожевого кольору, жир відсутній, тканина м’язів щільна, пружна, злегка волога, але не липка, з чистим характерним для філе запахом. </w:t>
      </w:r>
      <w:r>
        <w:rPr>
          <w:rFonts w:ascii="Times New Roman" w:hAnsi="Times New Roman"/>
          <w:sz w:val="24"/>
        </w:rPr>
        <w:t xml:space="preserve">Строк зберігання до 7 діб. </w:t>
      </w:r>
      <w:r w:rsidRPr="00A361FE">
        <w:rPr>
          <w:rFonts w:ascii="Times New Roman" w:hAnsi="Times New Roman"/>
          <w:sz w:val="24"/>
          <w:szCs w:val="24"/>
        </w:rPr>
        <w:t xml:space="preserve">Товар відповідає умовам ТУ У виробника. </w:t>
      </w:r>
      <w:r>
        <w:rPr>
          <w:rFonts w:ascii="Times New Roman" w:hAnsi="Times New Roman"/>
          <w:sz w:val="24"/>
          <w:szCs w:val="24"/>
        </w:rPr>
        <w:t>Пакування виробника.</w:t>
      </w:r>
    </w:p>
    <w:p w:rsidR="00DA5FED" w:rsidRPr="00DA5FED" w:rsidRDefault="00DA5FED" w:rsidP="002138DE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DA5FED">
        <w:rPr>
          <w:rFonts w:ascii="Times New Roman" w:hAnsi="Times New Roman"/>
          <w:b/>
          <w:sz w:val="24"/>
          <w:szCs w:val="24"/>
        </w:rPr>
        <w:t>Свинина охолоджена: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М'ясо свинини-нежирне має бути охолодженим або замороженим, без кісток, у вигляді великих шматків, без жил, грубих поверхневих плівок, без стороннього запаху, колір блідо-рожевий, по консистенції м’ясо повинно бути пружним та еластичним. Запакована та промаркована (згідно вимог «Інструкції  з організації харчування дітей у дошкільних навчальних закладах», затвердженої спільним наказом Міністерств освіти і науки та охорони здоров’я України від 17.04.2006 р. № 298/227). Товар не повинен містити генетично модифікованих організмів (ГМО). На момент поставки термін придатності до </w:t>
      </w:r>
      <w:r>
        <w:rPr>
          <w:rFonts w:ascii="Times New Roman" w:hAnsi="Times New Roman"/>
          <w:sz w:val="24"/>
          <w:szCs w:val="24"/>
        </w:rPr>
        <w:lastRenderedPageBreak/>
        <w:t>споживання товару повинен складати не менше, ніж 90 % до загального терміну придатності до споживання.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DA5FED">
        <w:rPr>
          <w:rFonts w:ascii="Times New Roman" w:hAnsi="Times New Roman"/>
          <w:sz w:val="24"/>
          <w:szCs w:val="24"/>
        </w:rPr>
        <w:t>– 1330500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5659D"/>
    <w:rsid w:val="003B50DA"/>
    <w:rsid w:val="005071A4"/>
    <w:rsid w:val="00677480"/>
    <w:rsid w:val="006C0FCB"/>
    <w:rsid w:val="006D0403"/>
    <w:rsid w:val="00904E18"/>
    <w:rsid w:val="0092163E"/>
    <w:rsid w:val="00935553"/>
    <w:rsid w:val="00984272"/>
    <w:rsid w:val="00B56189"/>
    <w:rsid w:val="00BE7ECD"/>
    <w:rsid w:val="00CC2D23"/>
    <w:rsid w:val="00D2537A"/>
    <w:rsid w:val="00DA5FED"/>
    <w:rsid w:val="00DF2C06"/>
    <w:rsid w:val="00E05B1D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2022-02-08T12:06:00Z</dcterms:created>
  <dcterms:modified xsi:type="dcterms:W3CDTF">2022-02-08T12:06:00Z</dcterms:modified>
</cp:coreProperties>
</file>